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4D" w:rsidRDefault="00EA344D">
      <w:pPr>
        <w:jc w:val="center"/>
        <w:rPr>
          <w:rFonts w:ascii="仿宋" w:eastAsia="仿宋" w:hAnsi="仿宋" w:cs="Arial"/>
          <w:b/>
          <w:sz w:val="44"/>
          <w:szCs w:val="44"/>
        </w:rPr>
      </w:pPr>
    </w:p>
    <w:p w:rsidR="00EA344D" w:rsidRDefault="00EA344D">
      <w:pPr>
        <w:jc w:val="center"/>
        <w:rPr>
          <w:rFonts w:ascii="仿宋" w:eastAsia="仿宋" w:hAnsi="仿宋" w:cs="Arial"/>
          <w:b/>
          <w:sz w:val="44"/>
          <w:szCs w:val="44"/>
        </w:rPr>
      </w:pPr>
    </w:p>
    <w:p w:rsidR="00EA344D" w:rsidRDefault="00EA344D">
      <w:pPr>
        <w:jc w:val="center"/>
        <w:rPr>
          <w:rFonts w:ascii="仿宋" w:eastAsia="仿宋" w:hAnsi="仿宋" w:cs="Arial"/>
          <w:b/>
          <w:sz w:val="44"/>
          <w:szCs w:val="44"/>
        </w:rPr>
      </w:pPr>
    </w:p>
    <w:p w:rsidR="00EA344D" w:rsidRDefault="00EA344D">
      <w:pPr>
        <w:jc w:val="center"/>
        <w:rPr>
          <w:rFonts w:ascii="仿宋" w:eastAsia="仿宋" w:hAnsi="仿宋" w:cs="Arial"/>
          <w:b/>
          <w:sz w:val="44"/>
          <w:szCs w:val="44"/>
        </w:rPr>
      </w:pPr>
    </w:p>
    <w:p w:rsidR="00EA344D" w:rsidRDefault="00BE211C">
      <w:pPr>
        <w:jc w:val="center"/>
        <w:rPr>
          <w:rFonts w:ascii="仿宋" w:eastAsia="仿宋" w:hAnsi="仿宋" w:cs="Times New Roman"/>
          <w:b/>
          <w:sz w:val="52"/>
          <w:szCs w:val="52"/>
        </w:rPr>
      </w:pPr>
      <w:r>
        <w:rPr>
          <w:rFonts w:ascii="仿宋" w:eastAsia="仿宋" w:hAnsi="仿宋" w:cs="Arial"/>
          <w:b/>
          <w:sz w:val="52"/>
          <w:szCs w:val="52"/>
        </w:rPr>
        <w:t>20</w:t>
      </w:r>
      <w:r>
        <w:rPr>
          <w:rFonts w:ascii="仿宋" w:eastAsia="仿宋" w:hAnsi="仿宋" w:cs="Arial" w:hint="eastAsia"/>
          <w:b/>
          <w:sz w:val="52"/>
          <w:szCs w:val="52"/>
        </w:rPr>
        <w:t>21</w:t>
      </w:r>
      <w:r>
        <w:rPr>
          <w:rFonts w:ascii="仿宋" w:eastAsia="仿宋" w:hAnsi="仿宋" w:cs="方正小标宋简体" w:hint="eastAsia"/>
          <w:b/>
          <w:sz w:val="52"/>
          <w:szCs w:val="52"/>
        </w:rPr>
        <w:t>年长春市公安局汽车经济技术开发区分局预算</w:t>
      </w:r>
    </w:p>
    <w:p w:rsidR="00EA344D" w:rsidRDefault="00EA344D">
      <w:pPr>
        <w:jc w:val="center"/>
        <w:rPr>
          <w:rFonts w:ascii="仿宋" w:eastAsia="仿宋" w:hAnsi="仿宋" w:cs="Times New Roman"/>
          <w:b/>
          <w:sz w:val="44"/>
          <w:szCs w:val="44"/>
        </w:rPr>
      </w:pPr>
    </w:p>
    <w:p w:rsidR="00EA344D" w:rsidRDefault="00EA344D">
      <w:pPr>
        <w:jc w:val="center"/>
        <w:rPr>
          <w:rFonts w:ascii="仿宋" w:eastAsia="仿宋" w:hAnsi="仿宋" w:cs="Times New Roman"/>
          <w:b/>
          <w:sz w:val="44"/>
          <w:szCs w:val="44"/>
        </w:rPr>
      </w:pPr>
    </w:p>
    <w:p w:rsidR="00EA344D" w:rsidRDefault="00EA344D">
      <w:pPr>
        <w:jc w:val="center"/>
        <w:rPr>
          <w:rFonts w:ascii="仿宋" w:eastAsia="仿宋" w:hAnsi="仿宋" w:cs="Times New Roman"/>
          <w:b/>
          <w:sz w:val="44"/>
          <w:szCs w:val="44"/>
        </w:rPr>
      </w:pPr>
    </w:p>
    <w:p w:rsidR="00EA344D" w:rsidRDefault="00EA344D">
      <w:pPr>
        <w:jc w:val="center"/>
        <w:rPr>
          <w:rFonts w:ascii="仿宋" w:eastAsia="仿宋" w:hAnsi="仿宋" w:cs="Times New Roman"/>
          <w:b/>
          <w:sz w:val="44"/>
          <w:szCs w:val="44"/>
        </w:rPr>
      </w:pPr>
    </w:p>
    <w:p w:rsidR="00EA344D" w:rsidRDefault="00BE211C">
      <w:pPr>
        <w:jc w:val="center"/>
        <w:rPr>
          <w:rFonts w:ascii="仿宋" w:eastAsia="仿宋" w:hAnsi="仿宋" w:cs="Times New Roman"/>
          <w:b/>
          <w:sz w:val="44"/>
          <w:szCs w:val="44"/>
        </w:rPr>
      </w:pPr>
      <w:r>
        <w:rPr>
          <w:rFonts w:ascii="仿宋" w:eastAsia="仿宋" w:hAnsi="仿宋" w:cs="Arial"/>
          <w:b/>
          <w:sz w:val="44"/>
          <w:szCs w:val="44"/>
        </w:rPr>
        <w:t>20</w:t>
      </w:r>
      <w:r>
        <w:rPr>
          <w:rFonts w:ascii="仿宋" w:eastAsia="仿宋" w:hAnsi="仿宋" w:cs="Arial" w:hint="eastAsia"/>
          <w:b/>
          <w:sz w:val="44"/>
          <w:szCs w:val="44"/>
        </w:rPr>
        <w:t>21</w:t>
      </w:r>
      <w:r>
        <w:rPr>
          <w:rFonts w:ascii="仿宋" w:eastAsia="仿宋" w:hAnsi="仿宋" w:cs="方正小标宋简体" w:hint="eastAsia"/>
          <w:b/>
          <w:sz w:val="44"/>
          <w:szCs w:val="44"/>
        </w:rPr>
        <w:t>年</w:t>
      </w:r>
      <w:r>
        <w:rPr>
          <w:rFonts w:ascii="仿宋" w:eastAsia="仿宋" w:hAnsi="仿宋" w:cs="Arial"/>
          <w:b/>
          <w:sz w:val="44"/>
          <w:szCs w:val="44"/>
        </w:rPr>
        <w:t>2</w:t>
      </w:r>
      <w:r>
        <w:rPr>
          <w:rFonts w:ascii="仿宋" w:eastAsia="仿宋" w:hAnsi="仿宋" w:cs="方正小标宋简体" w:hint="eastAsia"/>
          <w:b/>
          <w:sz w:val="44"/>
          <w:szCs w:val="44"/>
        </w:rPr>
        <w:t>月19日</w:t>
      </w:r>
    </w:p>
    <w:p w:rsidR="00EA344D" w:rsidRDefault="00EA344D">
      <w:pPr>
        <w:jc w:val="center"/>
        <w:rPr>
          <w:rFonts w:ascii="Arial" w:eastAsia="方正小标宋简体" w:hAnsi="Arial" w:cs="Times New Roman"/>
          <w:sz w:val="44"/>
          <w:szCs w:val="44"/>
        </w:rPr>
      </w:pPr>
    </w:p>
    <w:p w:rsidR="00EA344D" w:rsidRDefault="00BE211C">
      <w:pPr>
        <w:spacing w:line="540" w:lineRule="exact"/>
        <w:jc w:val="center"/>
        <w:outlineLvl w:val="1"/>
        <w:rPr>
          <w:rFonts w:ascii="仿宋" w:eastAsia="仿宋" w:hAnsi="仿宋" w:cs="Times New Roman"/>
          <w:b/>
          <w:sz w:val="44"/>
          <w:szCs w:val="44"/>
        </w:rPr>
      </w:pPr>
      <w:r>
        <w:rPr>
          <w:rFonts w:ascii="方正小标宋简体" w:eastAsia="方正小标宋简体" w:hAnsi="方正小标宋简体" w:cs="Times New Roman"/>
          <w:sz w:val="44"/>
          <w:szCs w:val="44"/>
        </w:rPr>
        <w:br w:type="page"/>
      </w:r>
      <w:r>
        <w:rPr>
          <w:rFonts w:ascii="仿宋" w:eastAsia="仿宋" w:hAnsi="仿宋" w:cs="方正小标宋简体" w:hint="eastAsia"/>
          <w:b/>
          <w:sz w:val="44"/>
          <w:szCs w:val="44"/>
        </w:rPr>
        <w:lastRenderedPageBreak/>
        <w:t>目录</w:t>
      </w:r>
    </w:p>
    <w:p w:rsidR="00EA344D" w:rsidRDefault="00EA344D">
      <w:pPr>
        <w:spacing w:line="540" w:lineRule="exact"/>
        <w:rPr>
          <w:rFonts w:ascii="仿宋" w:eastAsia="仿宋" w:hAnsi="仿宋" w:cs="Times New Roman"/>
          <w:b/>
          <w:sz w:val="44"/>
          <w:szCs w:val="44"/>
        </w:rPr>
      </w:pPr>
    </w:p>
    <w:p w:rsidR="00EA344D" w:rsidRDefault="00BE211C">
      <w:pPr>
        <w:spacing w:line="560" w:lineRule="exact"/>
        <w:rPr>
          <w:rFonts w:ascii="仿宋" w:eastAsia="仿宋" w:hAnsi="仿宋" w:cs="Times New Roman"/>
          <w:b/>
          <w:sz w:val="32"/>
          <w:szCs w:val="32"/>
        </w:rPr>
      </w:pPr>
      <w:r>
        <w:rPr>
          <w:rFonts w:ascii="仿宋" w:eastAsia="仿宋" w:hAnsi="仿宋" w:cs="黑体" w:hint="eastAsia"/>
          <w:b/>
          <w:sz w:val="32"/>
          <w:szCs w:val="32"/>
        </w:rPr>
        <w:t>第一部分、部门概况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一、主要职能</w:t>
      </w:r>
    </w:p>
    <w:p w:rsidR="00EA344D" w:rsidRDefault="00BE211C">
      <w:pPr>
        <w:spacing w:line="560" w:lineRule="exact"/>
        <w:rPr>
          <w:rFonts w:ascii="仿宋" w:eastAsia="仿宋" w:hAnsi="仿宋" w:cs="仿宋_GB2312"/>
          <w:sz w:val="32"/>
          <w:szCs w:val="32"/>
        </w:rPr>
      </w:pPr>
      <w:r>
        <w:rPr>
          <w:rFonts w:ascii="仿宋" w:eastAsia="仿宋" w:hAnsi="仿宋" w:cs="仿宋_GB2312" w:hint="eastAsia"/>
          <w:sz w:val="32"/>
          <w:szCs w:val="32"/>
        </w:rPr>
        <w:t>二、机构设置</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三、部门预算基本情况</w:t>
      </w:r>
    </w:p>
    <w:p w:rsidR="00EA344D" w:rsidRDefault="00BE211C">
      <w:pPr>
        <w:spacing w:line="560" w:lineRule="exact"/>
        <w:rPr>
          <w:rFonts w:ascii="仿宋" w:eastAsia="仿宋" w:hAnsi="仿宋" w:cs="Times New Roman"/>
          <w:b/>
          <w:sz w:val="32"/>
          <w:szCs w:val="32"/>
        </w:rPr>
      </w:pPr>
      <w:r>
        <w:rPr>
          <w:rFonts w:ascii="仿宋" w:eastAsia="仿宋" w:hAnsi="仿宋" w:cs="黑体" w:hint="eastAsia"/>
          <w:b/>
          <w:sz w:val="32"/>
          <w:szCs w:val="32"/>
        </w:rPr>
        <w:t>第二部分、</w:t>
      </w:r>
      <w:r>
        <w:rPr>
          <w:rFonts w:ascii="仿宋" w:eastAsia="仿宋" w:hAnsi="仿宋" w:cs="黑体"/>
          <w:b/>
          <w:sz w:val="32"/>
          <w:szCs w:val="32"/>
        </w:rPr>
        <w:t xml:space="preserve"> 20</w:t>
      </w:r>
      <w:r>
        <w:rPr>
          <w:rFonts w:ascii="仿宋" w:eastAsia="仿宋" w:hAnsi="仿宋" w:cs="黑体" w:hint="eastAsia"/>
          <w:b/>
          <w:sz w:val="32"/>
          <w:szCs w:val="32"/>
        </w:rPr>
        <w:t>21年度部门预算表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一、财政拨款收支总表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二、一般公共预算支出表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三、一般公共预算基本支出表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四、一般公共预算“三公”经费支出表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五、政府性基金预算支出表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六、部门收支总表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七、部门收入总表</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八、部门支出总表</w:t>
      </w:r>
    </w:p>
    <w:p w:rsidR="00EA344D" w:rsidRDefault="00BE211C">
      <w:pPr>
        <w:spacing w:line="560" w:lineRule="exact"/>
        <w:rPr>
          <w:rFonts w:ascii="仿宋" w:eastAsia="仿宋" w:hAnsi="仿宋" w:cs="Times New Roman"/>
          <w:b/>
          <w:sz w:val="32"/>
          <w:szCs w:val="32"/>
        </w:rPr>
      </w:pPr>
      <w:r>
        <w:rPr>
          <w:rFonts w:ascii="仿宋" w:eastAsia="仿宋" w:hAnsi="仿宋" w:cs="黑体" w:hint="eastAsia"/>
          <w:b/>
          <w:sz w:val="32"/>
          <w:szCs w:val="32"/>
        </w:rPr>
        <w:t>第三部分、</w:t>
      </w:r>
      <w:r>
        <w:rPr>
          <w:rFonts w:ascii="仿宋" w:eastAsia="仿宋" w:hAnsi="仿宋" w:cs="黑体"/>
          <w:b/>
          <w:sz w:val="32"/>
          <w:szCs w:val="32"/>
        </w:rPr>
        <w:t>20</w:t>
      </w:r>
      <w:r>
        <w:rPr>
          <w:rFonts w:ascii="仿宋" w:eastAsia="仿宋" w:hAnsi="仿宋" w:cs="黑体" w:hint="eastAsia"/>
          <w:b/>
          <w:sz w:val="32"/>
          <w:szCs w:val="32"/>
        </w:rPr>
        <w:t>21年度部门预算情况说明</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一、</w:t>
      </w:r>
      <w:r>
        <w:rPr>
          <w:rFonts w:ascii="仿宋" w:eastAsia="仿宋" w:hAnsi="仿宋" w:cs="仿宋_GB2312"/>
          <w:sz w:val="32"/>
          <w:szCs w:val="32"/>
        </w:rPr>
        <w:t>20</w:t>
      </w:r>
      <w:r>
        <w:rPr>
          <w:rFonts w:ascii="仿宋" w:eastAsia="仿宋" w:hAnsi="仿宋" w:cs="仿宋_GB2312" w:hint="eastAsia"/>
          <w:sz w:val="32"/>
          <w:szCs w:val="32"/>
        </w:rPr>
        <w:t>21年财政拨款收支情况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二、</w:t>
      </w:r>
      <w:r>
        <w:rPr>
          <w:rFonts w:ascii="仿宋" w:eastAsia="仿宋" w:hAnsi="仿宋" w:cs="仿宋_GB2312"/>
          <w:sz w:val="32"/>
          <w:szCs w:val="32"/>
        </w:rPr>
        <w:t>20</w:t>
      </w:r>
      <w:r>
        <w:rPr>
          <w:rFonts w:ascii="仿宋" w:eastAsia="仿宋" w:hAnsi="仿宋" w:cs="仿宋_GB2312" w:hint="eastAsia"/>
          <w:sz w:val="32"/>
          <w:szCs w:val="32"/>
        </w:rPr>
        <w:t>21年一般公共预算支出情况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三、</w:t>
      </w:r>
      <w:r>
        <w:rPr>
          <w:rFonts w:ascii="仿宋" w:eastAsia="仿宋" w:hAnsi="仿宋" w:cs="仿宋_GB2312"/>
          <w:sz w:val="32"/>
          <w:szCs w:val="32"/>
        </w:rPr>
        <w:t>20</w:t>
      </w:r>
      <w:r>
        <w:rPr>
          <w:rFonts w:ascii="仿宋" w:eastAsia="仿宋" w:hAnsi="仿宋" w:cs="仿宋_GB2312" w:hint="eastAsia"/>
          <w:sz w:val="32"/>
          <w:szCs w:val="32"/>
        </w:rPr>
        <w:t>21年一般公共预算基本支出情况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四、</w:t>
      </w:r>
      <w:r>
        <w:rPr>
          <w:rFonts w:ascii="仿宋" w:eastAsia="仿宋" w:hAnsi="仿宋" w:cs="仿宋_GB2312"/>
          <w:sz w:val="32"/>
          <w:szCs w:val="32"/>
        </w:rPr>
        <w:t>20</w:t>
      </w:r>
      <w:r>
        <w:rPr>
          <w:rFonts w:ascii="仿宋" w:eastAsia="仿宋" w:hAnsi="仿宋" w:cs="仿宋_GB2312" w:hint="eastAsia"/>
          <w:sz w:val="32"/>
          <w:szCs w:val="32"/>
        </w:rPr>
        <w:t>21年一般公共预算“三公”经费支出表情况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五、</w:t>
      </w:r>
      <w:r>
        <w:rPr>
          <w:rFonts w:ascii="仿宋" w:eastAsia="仿宋" w:hAnsi="仿宋" w:cs="仿宋_GB2312"/>
          <w:sz w:val="32"/>
          <w:szCs w:val="32"/>
        </w:rPr>
        <w:t>20</w:t>
      </w:r>
      <w:r>
        <w:rPr>
          <w:rFonts w:ascii="仿宋" w:eastAsia="仿宋" w:hAnsi="仿宋" w:cs="仿宋_GB2312" w:hint="eastAsia"/>
          <w:sz w:val="32"/>
          <w:szCs w:val="32"/>
        </w:rPr>
        <w:t>21年政府性基金预算支出表情况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六、</w:t>
      </w:r>
      <w:r>
        <w:rPr>
          <w:rFonts w:ascii="仿宋" w:eastAsia="仿宋" w:hAnsi="仿宋" w:cs="仿宋_GB2312"/>
          <w:sz w:val="32"/>
          <w:szCs w:val="32"/>
        </w:rPr>
        <w:t>20</w:t>
      </w:r>
      <w:r>
        <w:rPr>
          <w:rFonts w:ascii="仿宋" w:eastAsia="仿宋" w:hAnsi="仿宋" w:cs="仿宋_GB2312" w:hint="eastAsia"/>
          <w:sz w:val="32"/>
          <w:szCs w:val="32"/>
        </w:rPr>
        <w:t>21年部门收支总表情况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七、</w:t>
      </w:r>
      <w:r>
        <w:rPr>
          <w:rFonts w:ascii="仿宋" w:eastAsia="仿宋" w:hAnsi="仿宋" w:cs="仿宋_GB2312"/>
          <w:sz w:val="32"/>
          <w:szCs w:val="32"/>
        </w:rPr>
        <w:t>20</w:t>
      </w:r>
      <w:r>
        <w:rPr>
          <w:rFonts w:ascii="仿宋" w:eastAsia="仿宋" w:hAnsi="仿宋" w:cs="仿宋_GB2312" w:hint="eastAsia"/>
          <w:sz w:val="32"/>
          <w:szCs w:val="32"/>
        </w:rPr>
        <w:t>21年部门收入总表情况</w:t>
      </w:r>
    </w:p>
    <w:p w:rsidR="00EA344D" w:rsidRDefault="00BE211C">
      <w:pPr>
        <w:spacing w:line="560" w:lineRule="exact"/>
        <w:rPr>
          <w:rFonts w:ascii="仿宋" w:eastAsia="仿宋" w:hAnsi="仿宋" w:cs="Times New Roman"/>
          <w:sz w:val="32"/>
          <w:szCs w:val="32"/>
        </w:rPr>
      </w:pPr>
      <w:r>
        <w:rPr>
          <w:rFonts w:ascii="仿宋" w:eastAsia="仿宋" w:hAnsi="仿宋" w:cs="仿宋_GB2312" w:hint="eastAsia"/>
          <w:sz w:val="32"/>
          <w:szCs w:val="32"/>
        </w:rPr>
        <w:t>八、</w:t>
      </w:r>
      <w:r>
        <w:rPr>
          <w:rFonts w:ascii="仿宋" w:eastAsia="仿宋" w:hAnsi="仿宋" w:cs="仿宋_GB2312"/>
          <w:sz w:val="32"/>
          <w:szCs w:val="32"/>
        </w:rPr>
        <w:t>20</w:t>
      </w:r>
      <w:r>
        <w:rPr>
          <w:rFonts w:ascii="仿宋" w:eastAsia="仿宋" w:hAnsi="仿宋" w:cs="仿宋_GB2312" w:hint="eastAsia"/>
          <w:sz w:val="32"/>
          <w:szCs w:val="32"/>
        </w:rPr>
        <w:t>21年部门支出总表情况</w:t>
      </w:r>
    </w:p>
    <w:p w:rsidR="00EA344D" w:rsidRDefault="00BE211C">
      <w:pPr>
        <w:spacing w:line="560" w:lineRule="exact"/>
        <w:rPr>
          <w:rFonts w:ascii="仿宋" w:eastAsia="仿宋" w:hAnsi="仿宋" w:cs="仿宋_GB2312"/>
          <w:sz w:val="32"/>
          <w:szCs w:val="32"/>
        </w:rPr>
      </w:pPr>
      <w:r>
        <w:rPr>
          <w:rFonts w:ascii="仿宋" w:eastAsia="仿宋" w:hAnsi="仿宋" w:cs="仿宋_GB2312" w:hint="eastAsia"/>
          <w:sz w:val="32"/>
          <w:szCs w:val="32"/>
        </w:rPr>
        <w:lastRenderedPageBreak/>
        <w:t>九、机关运行经费支出情况</w:t>
      </w:r>
    </w:p>
    <w:p w:rsidR="00EA344D" w:rsidRDefault="00BE211C">
      <w:pPr>
        <w:spacing w:line="560" w:lineRule="exact"/>
        <w:rPr>
          <w:rFonts w:ascii="仿宋" w:eastAsia="仿宋" w:hAnsi="仿宋" w:cs="仿宋_GB2312"/>
          <w:sz w:val="32"/>
          <w:szCs w:val="32"/>
        </w:rPr>
      </w:pPr>
      <w:r>
        <w:rPr>
          <w:rFonts w:ascii="仿宋" w:eastAsia="仿宋" w:hAnsi="仿宋" w:cs="仿宋_GB2312" w:hint="eastAsia"/>
          <w:sz w:val="32"/>
          <w:szCs w:val="32"/>
        </w:rPr>
        <w:t>十、政府采购支出情况</w:t>
      </w:r>
    </w:p>
    <w:p w:rsidR="00EA344D" w:rsidRDefault="00BE211C">
      <w:pPr>
        <w:spacing w:line="560" w:lineRule="exact"/>
        <w:rPr>
          <w:rFonts w:ascii="仿宋" w:eastAsia="仿宋" w:hAnsi="仿宋" w:cs="仿宋_GB2312"/>
          <w:sz w:val="32"/>
          <w:szCs w:val="32"/>
        </w:rPr>
      </w:pPr>
      <w:r>
        <w:rPr>
          <w:rFonts w:ascii="仿宋" w:eastAsia="仿宋" w:hAnsi="仿宋" w:cs="仿宋_GB2312" w:hint="eastAsia"/>
          <w:sz w:val="32"/>
          <w:szCs w:val="32"/>
        </w:rPr>
        <w:t>十一、国有资产占用情况</w:t>
      </w:r>
    </w:p>
    <w:p w:rsidR="00EA344D" w:rsidRDefault="00BE211C">
      <w:pPr>
        <w:spacing w:line="560" w:lineRule="exact"/>
        <w:rPr>
          <w:rFonts w:ascii="仿宋" w:eastAsia="仿宋" w:hAnsi="仿宋" w:cs="仿宋_GB2312"/>
          <w:sz w:val="32"/>
          <w:szCs w:val="32"/>
        </w:rPr>
      </w:pPr>
      <w:r>
        <w:rPr>
          <w:rFonts w:ascii="仿宋" w:eastAsia="仿宋" w:hAnsi="仿宋" w:cs="仿宋_GB2312" w:hint="eastAsia"/>
          <w:sz w:val="32"/>
          <w:szCs w:val="32"/>
        </w:rPr>
        <w:t>十二、预算绩效情况</w:t>
      </w:r>
    </w:p>
    <w:p w:rsidR="00EA344D" w:rsidRDefault="00BE211C">
      <w:pPr>
        <w:spacing w:line="560" w:lineRule="exact"/>
        <w:rPr>
          <w:rFonts w:ascii="仿宋" w:eastAsia="仿宋" w:hAnsi="仿宋"/>
          <w:sz w:val="32"/>
        </w:rPr>
      </w:pPr>
      <w:r>
        <w:rPr>
          <w:rFonts w:ascii="仿宋" w:eastAsia="仿宋" w:hAnsi="仿宋" w:hint="eastAsia"/>
          <w:sz w:val="32"/>
        </w:rPr>
        <w:t>十三、预算公开管理文件中涉密事项</w:t>
      </w:r>
    </w:p>
    <w:p w:rsidR="00EA344D" w:rsidRDefault="00BE211C">
      <w:pPr>
        <w:spacing w:line="560" w:lineRule="exact"/>
        <w:rPr>
          <w:rFonts w:ascii="仿宋" w:eastAsia="仿宋" w:hAnsi="仿宋" w:cs="Times New Roman"/>
          <w:b/>
          <w:sz w:val="32"/>
          <w:szCs w:val="32"/>
        </w:rPr>
      </w:pPr>
      <w:r>
        <w:rPr>
          <w:rFonts w:ascii="仿宋" w:eastAsia="仿宋" w:hAnsi="仿宋" w:cs="黑体" w:hint="eastAsia"/>
          <w:b/>
          <w:sz w:val="32"/>
          <w:szCs w:val="32"/>
        </w:rPr>
        <w:t>第四部分、名词解释</w:t>
      </w: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仿宋" w:eastAsia="仿宋" w:hAnsi="仿宋" w:cs="Times New Roman"/>
          <w:sz w:val="32"/>
          <w:szCs w:val="32"/>
        </w:rPr>
      </w:pPr>
    </w:p>
    <w:p w:rsidR="00EA344D" w:rsidRDefault="00EA344D">
      <w:pPr>
        <w:spacing w:line="560" w:lineRule="exact"/>
        <w:rPr>
          <w:rFonts w:ascii="宋体" w:cs="Times New Roman"/>
          <w:sz w:val="44"/>
          <w:szCs w:val="44"/>
        </w:rPr>
      </w:pPr>
    </w:p>
    <w:p w:rsidR="00EA344D" w:rsidRDefault="00BE211C">
      <w:pPr>
        <w:spacing w:line="560" w:lineRule="exact"/>
        <w:jc w:val="center"/>
        <w:rPr>
          <w:rFonts w:ascii="仿宋" w:eastAsia="仿宋" w:hAnsi="仿宋" w:cs="Times New Roman"/>
          <w:b/>
          <w:sz w:val="44"/>
          <w:szCs w:val="44"/>
        </w:rPr>
      </w:pPr>
      <w:r>
        <w:rPr>
          <w:rFonts w:ascii="仿宋" w:eastAsia="仿宋" w:hAnsi="仿宋" w:cs="宋体"/>
          <w:b/>
          <w:sz w:val="44"/>
          <w:szCs w:val="44"/>
        </w:rPr>
        <w:lastRenderedPageBreak/>
        <w:t>20</w:t>
      </w:r>
      <w:r>
        <w:rPr>
          <w:rFonts w:ascii="仿宋" w:eastAsia="仿宋" w:hAnsi="仿宋" w:cs="宋体" w:hint="eastAsia"/>
          <w:b/>
          <w:sz w:val="44"/>
          <w:szCs w:val="44"/>
        </w:rPr>
        <w:t>21年度长春市公安局汽车经济技术开发区分局部门预算</w:t>
      </w:r>
    </w:p>
    <w:p w:rsidR="00EA344D" w:rsidRDefault="00EA344D">
      <w:pPr>
        <w:spacing w:line="560" w:lineRule="exact"/>
        <w:rPr>
          <w:rFonts w:ascii="宋体" w:cs="Times New Roman"/>
          <w:color w:val="3E3E3E"/>
          <w:kern w:val="0"/>
          <w:sz w:val="18"/>
          <w:szCs w:val="18"/>
        </w:rPr>
      </w:pPr>
    </w:p>
    <w:p w:rsidR="00EA344D" w:rsidRDefault="00BE211C">
      <w:pPr>
        <w:spacing w:line="560" w:lineRule="exact"/>
        <w:ind w:firstLineChars="195" w:firstLine="705"/>
        <w:jc w:val="center"/>
        <w:rPr>
          <w:rFonts w:ascii="仿宋" w:eastAsia="仿宋" w:hAnsi="仿宋"/>
          <w:b/>
          <w:sz w:val="36"/>
          <w:szCs w:val="36"/>
        </w:rPr>
      </w:pPr>
      <w:r>
        <w:rPr>
          <w:rFonts w:ascii="仿宋" w:eastAsia="仿宋" w:hAnsi="仿宋" w:hint="eastAsia"/>
          <w:b/>
          <w:sz w:val="36"/>
          <w:szCs w:val="36"/>
        </w:rPr>
        <w:t>第一部分、部门概述</w:t>
      </w:r>
    </w:p>
    <w:p w:rsidR="00EA344D" w:rsidRDefault="00BE211C">
      <w:pPr>
        <w:spacing w:line="560" w:lineRule="exact"/>
        <w:ind w:firstLineChars="195" w:firstLine="626"/>
        <w:rPr>
          <w:rFonts w:ascii="仿宋" w:eastAsia="仿宋" w:hAnsi="仿宋"/>
          <w:b/>
          <w:sz w:val="32"/>
          <w:szCs w:val="32"/>
        </w:rPr>
      </w:pPr>
      <w:r>
        <w:rPr>
          <w:rFonts w:ascii="仿宋" w:eastAsia="仿宋" w:hAnsi="仿宋" w:hint="eastAsia"/>
          <w:b/>
          <w:sz w:val="32"/>
          <w:szCs w:val="32"/>
        </w:rPr>
        <w:t>一、主要职能</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长春市公安局汽车经济技术开发区分局为区政府组成部门，主要职能包括：</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(一)、贯彻执行党和国家有关公安工作的方针、政策、法规和规章，行使公安分局职权。</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(二)、掌握、分析及预测汽开区社会治安情况，为市公安局提供社会治安方面的重要信息，并研究提出对策。</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三)、负责对汽开区危害国家安全案件、恐怖事件、刑事案件、经济犯罪案件、涉税案件的侦察，承办禁毒工作；负责全市计算机信息系统的安全监察保护工作、政治工作、制度建设、干警培训和队伍建设；负责全区公安机关纪检、信息网络进行的刑事犯罪案件；协调查处跨区域重大案件，组织全市重大行动，处理严重危害社会治安的重大骚乱和重大治安事故。</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(四)、负责汽开区治安巡查和防范工作，依法管理城乡社会治安、户籍、居民身份证、流动人口、枪支弹药、爆炸物品和特种行业等工作；负责公安科研和社会公共安全技术产品的监督管理工作。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(五)、指导、监督汽开区国家机关、社会团体、企事业单位和重点建设工程的治安保卫工作以及群众性治安保卫组织的治安防范工作。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(六)、组织实施对来我区视察、访问的党和国家领导人、重要外宾的安全警卫工作。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(七)、负责出入境管理工作及公安外事工作。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(八)、负责汽开区公安法制工作、地方公安法规的调研起草工作，指导和监督全市公安机关执法活动。</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(九)、负责汽开区消防监督、火灾预防及扑救工作。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(十)、负责汽开区公安干警思想政治工作、制度建设、干警培训和队伍建设；负责汽开区公安机关纪检、监察、警务督察和审计工作。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(十一)、负责汽开区公安机关计划财务、装备、生活服务等公安后勤保障行政管理工作。</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(十二)、负责承办区政府交办的其他工作任务。</w:t>
      </w:r>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二、机构设置</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根据上述职责，长春市公安局汽车经济技术开发区分局机构为处、科二级建制。具体分为分局机关内设机构、派出机构，其中：</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一)、局机关内设机构14个：分别是政工处、纪检组、刑警大队、指挥室、警务保障室、法制大队、户籍大队、国保大队、治安管理大队、经侦大队、机动治安大队、特警大队、网络安全保卫大队、出入境管理大队、禁毒大队。</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(二)、派出机构共有9个：分别是汽车厂派出所、创业大街派出所、锦程大街派出所、东风大街派出所、四联大街派出所、迎春路派出所、安庆路派出所、汽贸城派出所、繁荣治</w:t>
      </w:r>
      <w:r>
        <w:rPr>
          <w:rFonts w:ascii="仿宋" w:eastAsia="仿宋" w:hAnsi="仿宋" w:hint="eastAsia"/>
          <w:sz w:val="32"/>
          <w:szCs w:val="32"/>
        </w:rPr>
        <w:lastRenderedPageBreak/>
        <w:t>安派出所。</w:t>
      </w:r>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三、部门预算基本情况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长春市公安局汽车经济技术开发区分局为二级预算单位</w:t>
      </w: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 xml:space="preserve"> (一)预算单位人员构成情况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长春市公安局汽车经济技术开发区分局现有人员455人，其中，在职人员355人，退休人员100人。</w:t>
      </w:r>
    </w:p>
    <w:p w:rsidR="00EA344D" w:rsidRDefault="00EA344D">
      <w:pPr>
        <w:widowControl/>
        <w:spacing w:before="100" w:beforeAutospacing="1" w:after="100" w:afterAutospacing="1" w:line="560" w:lineRule="exact"/>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EA344D">
      <w:pPr>
        <w:widowControl/>
        <w:spacing w:before="100" w:beforeAutospacing="1" w:after="100" w:afterAutospacing="1" w:line="360" w:lineRule="auto"/>
        <w:jc w:val="left"/>
        <w:rPr>
          <w:rFonts w:ascii="黑体" w:eastAsia="黑体" w:hAnsi="黑体" w:cs="黑体"/>
          <w:sz w:val="32"/>
          <w:szCs w:val="32"/>
        </w:rPr>
      </w:pPr>
    </w:p>
    <w:p w:rsidR="00EA344D" w:rsidRDefault="00BE211C">
      <w:pPr>
        <w:widowControl/>
        <w:spacing w:before="100" w:beforeAutospacing="1" w:after="100" w:afterAutospacing="1" w:line="360" w:lineRule="auto"/>
        <w:jc w:val="center"/>
        <w:rPr>
          <w:rFonts w:ascii="仿宋" w:eastAsia="仿宋" w:hAnsi="仿宋"/>
          <w:b/>
          <w:sz w:val="36"/>
          <w:szCs w:val="36"/>
        </w:rPr>
      </w:pPr>
      <w:r>
        <w:rPr>
          <w:rFonts w:ascii="仿宋" w:eastAsia="仿宋" w:hAnsi="仿宋" w:cs="黑体" w:hint="eastAsia"/>
          <w:b/>
          <w:sz w:val="36"/>
          <w:szCs w:val="36"/>
        </w:rPr>
        <w:lastRenderedPageBreak/>
        <w:t>第二部分、</w:t>
      </w:r>
      <w:r>
        <w:rPr>
          <w:rFonts w:ascii="仿宋" w:eastAsia="仿宋" w:hAnsi="仿宋"/>
          <w:b/>
          <w:sz w:val="36"/>
          <w:szCs w:val="36"/>
        </w:rPr>
        <w:t>20</w:t>
      </w:r>
      <w:r>
        <w:rPr>
          <w:rFonts w:ascii="仿宋" w:eastAsia="仿宋" w:hAnsi="仿宋" w:hint="eastAsia"/>
          <w:b/>
          <w:sz w:val="36"/>
          <w:szCs w:val="36"/>
        </w:rPr>
        <w:t>21年度部门预算表</w:t>
      </w:r>
    </w:p>
    <w:p w:rsidR="00EA344D" w:rsidRDefault="00BE211C">
      <w:pPr>
        <w:widowControl/>
        <w:spacing w:before="100" w:beforeAutospacing="1" w:after="100" w:afterAutospacing="1" w:line="360" w:lineRule="auto"/>
        <w:rPr>
          <w:rFonts w:ascii="仿宋" w:eastAsia="仿宋" w:hAnsi="仿宋"/>
          <w:b/>
          <w:sz w:val="32"/>
          <w:szCs w:val="32"/>
        </w:rPr>
      </w:pPr>
      <w:r>
        <w:rPr>
          <w:rFonts w:ascii="仿宋" w:eastAsia="仿宋" w:hAnsi="仿宋" w:hint="eastAsia"/>
          <w:b/>
          <w:sz w:val="32"/>
          <w:szCs w:val="32"/>
        </w:rPr>
        <w:t>一</w:t>
      </w:r>
      <w:hyperlink r:id="rId8" w:history="1">
        <w:r>
          <w:rPr>
            <w:rFonts w:ascii="仿宋" w:eastAsia="仿宋" w:hAnsi="仿宋" w:hint="eastAsia"/>
            <w:b/>
            <w:sz w:val="32"/>
            <w:szCs w:val="32"/>
          </w:rPr>
          <w:t>、</w:t>
        </w:r>
        <w:r>
          <w:rPr>
            <w:rFonts w:ascii="仿宋" w:eastAsia="仿宋" w:hAnsi="仿宋"/>
            <w:b/>
            <w:sz w:val="32"/>
            <w:szCs w:val="32"/>
          </w:rPr>
          <w:t>20</w:t>
        </w:r>
        <w:r>
          <w:rPr>
            <w:rFonts w:ascii="仿宋" w:eastAsia="仿宋" w:hAnsi="仿宋" w:hint="eastAsia"/>
            <w:b/>
            <w:sz w:val="32"/>
            <w:szCs w:val="32"/>
          </w:rPr>
          <w:t>21年财政拨款收支总表</w:t>
        </w:r>
      </w:hyperlink>
    </w:p>
    <w:p w:rsidR="00EA344D" w:rsidRDefault="00BE211C">
      <w:pPr>
        <w:widowControl/>
        <w:jc w:val="left"/>
      </w:pPr>
      <w:r>
        <w:rPr>
          <w:rFonts w:ascii="宋体" w:hAnsi="宋体" w:cs="宋体"/>
          <w:noProof/>
          <w:kern w:val="0"/>
          <w:sz w:val="24"/>
          <w:szCs w:val="24"/>
        </w:rPr>
        <w:drawing>
          <wp:inline distT="0" distB="0" distL="114300" distR="114300">
            <wp:extent cx="5686425" cy="4086860"/>
            <wp:effectExtent l="0" t="0" r="9525" b="889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9"/>
                    <a:stretch>
                      <a:fillRect/>
                    </a:stretch>
                  </pic:blipFill>
                  <pic:spPr>
                    <a:xfrm>
                      <a:off x="0" y="0"/>
                      <a:ext cx="5686425" cy="4086860"/>
                    </a:xfrm>
                    <a:prstGeom prst="rect">
                      <a:avLst/>
                    </a:prstGeom>
                    <a:noFill/>
                    <a:ln w="9525">
                      <a:noFill/>
                    </a:ln>
                  </pic:spPr>
                </pic:pic>
              </a:graphicData>
            </a:graphic>
          </wp:inline>
        </w:drawing>
      </w:r>
    </w:p>
    <w:p w:rsidR="00EA344D" w:rsidRDefault="00382EA5">
      <w:pPr>
        <w:widowControl/>
        <w:jc w:val="left"/>
        <w:rPr>
          <w:rFonts w:ascii="仿宋" w:eastAsia="仿宋" w:hAnsi="仿宋" w:cs="宋体"/>
          <w:kern w:val="0"/>
          <w:sz w:val="24"/>
          <w:szCs w:val="24"/>
        </w:rPr>
      </w:pPr>
      <w:hyperlink r:id="rId10" w:history="1">
        <w:r w:rsidR="00BE211C">
          <w:rPr>
            <w:rFonts w:ascii="仿宋" w:eastAsia="仿宋" w:hAnsi="仿宋" w:hint="eastAsia"/>
            <w:b/>
            <w:sz w:val="32"/>
          </w:rPr>
          <w:t>二、2021年一般公共预算预算支出表</w:t>
        </w:r>
      </w:hyperlink>
    </w:p>
    <w:p w:rsidR="00EA344D" w:rsidRDefault="00BE211C">
      <w:pPr>
        <w:widowControl/>
        <w:jc w:val="left"/>
      </w:pPr>
      <w:r>
        <w:rPr>
          <w:rFonts w:ascii="宋体" w:hAnsi="宋体" w:cs="宋体"/>
          <w:noProof/>
          <w:kern w:val="0"/>
          <w:sz w:val="24"/>
          <w:szCs w:val="24"/>
        </w:rPr>
        <w:drawing>
          <wp:inline distT="0" distB="0" distL="114300" distR="114300">
            <wp:extent cx="5629275" cy="3096260"/>
            <wp:effectExtent l="0" t="0" r="9525"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5629275" cy="3096260"/>
                    </a:xfrm>
                    <a:prstGeom prst="rect">
                      <a:avLst/>
                    </a:prstGeom>
                    <a:noFill/>
                    <a:ln w="9525">
                      <a:noFill/>
                    </a:ln>
                  </pic:spPr>
                </pic:pic>
              </a:graphicData>
            </a:graphic>
          </wp:inline>
        </w:drawing>
      </w:r>
    </w:p>
    <w:p w:rsidR="00EA344D" w:rsidRDefault="00EA344D">
      <w:pPr>
        <w:widowControl/>
        <w:jc w:val="left"/>
        <w:rPr>
          <w:rFonts w:ascii="宋体" w:hAnsi="宋体" w:cs="宋体"/>
          <w:kern w:val="0"/>
          <w:sz w:val="24"/>
          <w:szCs w:val="24"/>
        </w:rPr>
      </w:pPr>
    </w:p>
    <w:p w:rsidR="00EA344D" w:rsidRDefault="00382EA5">
      <w:pPr>
        <w:widowControl/>
        <w:spacing w:before="100" w:beforeAutospacing="1" w:after="100" w:afterAutospacing="1" w:line="360" w:lineRule="auto"/>
        <w:jc w:val="left"/>
        <w:rPr>
          <w:rFonts w:ascii="仿宋" w:eastAsia="仿宋" w:hAnsi="仿宋"/>
          <w:b/>
          <w:sz w:val="32"/>
        </w:rPr>
      </w:pPr>
      <w:hyperlink r:id="rId12" w:history="1">
        <w:r w:rsidR="00BE211C">
          <w:rPr>
            <w:rFonts w:ascii="仿宋" w:eastAsia="仿宋" w:hAnsi="仿宋" w:hint="eastAsia"/>
            <w:b/>
            <w:sz w:val="32"/>
          </w:rPr>
          <w:t>三、2021年一般公共预算基本支出表</w:t>
        </w:r>
      </w:hyperlink>
    </w:p>
    <w:p w:rsidR="00EA344D" w:rsidRDefault="00BE211C">
      <w:pPr>
        <w:widowControl/>
        <w:jc w:val="left"/>
      </w:pPr>
      <w:r>
        <w:rPr>
          <w:rFonts w:ascii="宋体" w:hAnsi="宋体" w:cs="宋体"/>
          <w:noProof/>
          <w:kern w:val="0"/>
          <w:sz w:val="24"/>
          <w:szCs w:val="24"/>
        </w:rPr>
        <w:drawing>
          <wp:inline distT="0" distB="0" distL="114300" distR="114300">
            <wp:extent cx="5038725" cy="6838315"/>
            <wp:effectExtent l="0" t="0" r="9525" b="63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3"/>
                    <a:stretch>
                      <a:fillRect/>
                    </a:stretch>
                  </pic:blipFill>
                  <pic:spPr>
                    <a:xfrm>
                      <a:off x="0" y="0"/>
                      <a:ext cx="5038725" cy="6838315"/>
                    </a:xfrm>
                    <a:prstGeom prst="rect">
                      <a:avLst/>
                    </a:prstGeom>
                    <a:noFill/>
                    <a:ln w="9525">
                      <a:noFill/>
                    </a:ln>
                  </pic:spPr>
                </pic:pic>
              </a:graphicData>
            </a:graphic>
          </wp:inline>
        </w:drawing>
      </w:r>
    </w:p>
    <w:p w:rsidR="00EA344D" w:rsidRDefault="00EA344D">
      <w:pPr>
        <w:widowControl/>
        <w:spacing w:before="100" w:beforeAutospacing="1" w:after="100" w:afterAutospacing="1" w:line="360" w:lineRule="auto"/>
        <w:jc w:val="left"/>
        <w:rPr>
          <w:rFonts w:ascii="仿宋" w:eastAsia="仿宋" w:hAnsi="仿宋"/>
          <w:b/>
          <w:sz w:val="32"/>
        </w:rPr>
      </w:pPr>
    </w:p>
    <w:p w:rsidR="00EA344D" w:rsidRDefault="00EA344D">
      <w:pPr>
        <w:widowControl/>
        <w:spacing w:before="100" w:beforeAutospacing="1" w:after="100" w:afterAutospacing="1" w:line="360" w:lineRule="auto"/>
        <w:jc w:val="left"/>
      </w:pPr>
    </w:p>
    <w:p w:rsidR="00EA344D" w:rsidRDefault="00EA344D">
      <w:pPr>
        <w:widowControl/>
        <w:spacing w:before="100" w:beforeAutospacing="1" w:after="100" w:afterAutospacing="1" w:line="360" w:lineRule="auto"/>
        <w:jc w:val="left"/>
      </w:pPr>
    </w:p>
    <w:p w:rsidR="00EA344D" w:rsidRDefault="00382EA5">
      <w:pPr>
        <w:widowControl/>
        <w:spacing w:before="100" w:beforeAutospacing="1" w:after="100" w:afterAutospacing="1" w:line="360" w:lineRule="auto"/>
        <w:jc w:val="left"/>
        <w:rPr>
          <w:rFonts w:ascii="仿宋" w:eastAsia="仿宋" w:hAnsi="仿宋"/>
          <w:b/>
          <w:sz w:val="32"/>
        </w:rPr>
      </w:pPr>
      <w:hyperlink r:id="rId14" w:history="1">
        <w:r w:rsidR="00BE211C">
          <w:rPr>
            <w:rFonts w:ascii="仿宋" w:eastAsia="仿宋" w:hAnsi="仿宋" w:hint="eastAsia"/>
            <w:b/>
            <w:sz w:val="32"/>
          </w:rPr>
          <w:t>四、2021年预算“三公”经费支出表</w:t>
        </w:r>
      </w:hyperlink>
    </w:p>
    <w:p w:rsidR="00EA344D" w:rsidRDefault="00BE211C">
      <w:pPr>
        <w:widowControl/>
        <w:jc w:val="left"/>
      </w:pPr>
      <w:r>
        <w:rPr>
          <w:rFonts w:ascii="宋体" w:hAnsi="宋体" w:cs="宋体"/>
          <w:noProof/>
          <w:kern w:val="0"/>
          <w:sz w:val="24"/>
          <w:szCs w:val="24"/>
        </w:rPr>
        <w:drawing>
          <wp:inline distT="0" distB="0" distL="114300" distR="114300">
            <wp:extent cx="5591810" cy="3524250"/>
            <wp:effectExtent l="0" t="0" r="889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5"/>
                    <a:stretch>
                      <a:fillRect/>
                    </a:stretch>
                  </pic:blipFill>
                  <pic:spPr>
                    <a:xfrm>
                      <a:off x="0" y="0"/>
                      <a:ext cx="5591810" cy="3524250"/>
                    </a:xfrm>
                    <a:prstGeom prst="rect">
                      <a:avLst/>
                    </a:prstGeom>
                    <a:noFill/>
                    <a:ln w="9525">
                      <a:noFill/>
                    </a:ln>
                  </pic:spPr>
                </pic:pic>
              </a:graphicData>
            </a:graphic>
          </wp:inline>
        </w:drawing>
      </w:r>
    </w:p>
    <w:p w:rsidR="00EA344D" w:rsidRDefault="00382EA5">
      <w:pPr>
        <w:widowControl/>
        <w:spacing w:before="100" w:beforeAutospacing="1" w:after="100" w:afterAutospacing="1" w:line="360" w:lineRule="auto"/>
        <w:jc w:val="left"/>
        <w:rPr>
          <w:rFonts w:ascii="仿宋" w:eastAsia="仿宋" w:hAnsi="仿宋"/>
          <w:b/>
          <w:sz w:val="32"/>
        </w:rPr>
      </w:pPr>
      <w:hyperlink r:id="rId16" w:history="1">
        <w:r w:rsidR="00BE211C">
          <w:rPr>
            <w:rFonts w:ascii="仿宋" w:eastAsia="仿宋" w:hAnsi="仿宋" w:hint="eastAsia"/>
            <w:b/>
            <w:sz w:val="32"/>
          </w:rPr>
          <w:t>五、2021年预算基金支出表</w:t>
        </w:r>
      </w:hyperlink>
    </w:p>
    <w:p w:rsidR="00EA344D" w:rsidRDefault="00BE211C">
      <w:pPr>
        <w:widowControl/>
        <w:jc w:val="left"/>
      </w:pPr>
      <w:r>
        <w:rPr>
          <w:rFonts w:ascii="宋体" w:hAnsi="宋体" w:cs="宋体"/>
          <w:noProof/>
          <w:kern w:val="0"/>
          <w:sz w:val="24"/>
          <w:szCs w:val="24"/>
        </w:rPr>
        <w:drawing>
          <wp:inline distT="0" distB="0" distL="114300" distR="114300">
            <wp:extent cx="5668010" cy="3515360"/>
            <wp:effectExtent l="0" t="0" r="8890" b="889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7"/>
                    <a:stretch>
                      <a:fillRect/>
                    </a:stretch>
                  </pic:blipFill>
                  <pic:spPr>
                    <a:xfrm>
                      <a:off x="0" y="0"/>
                      <a:ext cx="5668010" cy="3515360"/>
                    </a:xfrm>
                    <a:prstGeom prst="rect">
                      <a:avLst/>
                    </a:prstGeom>
                    <a:noFill/>
                    <a:ln w="9525">
                      <a:noFill/>
                    </a:ln>
                  </pic:spPr>
                </pic:pic>
              </a:graphicData>
            </a:graphic>
          </wp:inline>
        </w:drawing>
      </w:r>
    </w:p>
    <w:p w:rsidR="00EA344D" w:rsidRDefault="00EA344D">
      <w:pPr>
        <w:widowControl/>
        <w:spacing w:before="100" w:beforeAutospacing="1" w:after="100" w:afterAutospacing="1" w:line="360" w:lineRule="auto"/>
        <w:jc w:val="left"/>
        <w:rPr>
          <w:rFonts w:ascii="仿宋" w:eastAsia="仿宋" w:hAnsi="仿宋"/>
          <w:b/>
          <w:sz w:val="32"/>
        </w:rPr>
      </w:pPr>
    </w:p>
    <w:p w:rsidR="00EA344D" w:rsidRDefault="00382EA5">
      <w:pPr>
        <w:widowControl/>
        <w:spacing w:before="100" w:beforeAutospacing="1" w:after="100" w:afterAutospacing="1" w:line="360" w:lineRule="auto"/>
        <w:jc w:val="left"/>
        <w:rPr>
          <w:rFonts w:ascii="仿宋" w:eastAsia="仿宋" w:hAnsi="仿宋"/>
          <w:b/>
          <w:sz w:val="32"/>
        </w:rPr>
      </w:pPr>
      <w:hyperlink r:id="rId18" w:history="1">
        <w:r w:rsidR="00BE211C">
          <w:rPr>
            <w:rFonts w:ascii="仿宋" w:eastAsia="仿宋" w:hAnsi="仿宋" w:hint="eastAsia"/>
            <w:b/>
            <w:sz w:val="32"/>
          </w:rPr>
          <w:t>六、2021年预算部门收支总表</w:t>
        </w:r>
      </w:hyperlink>
    </w:p>
    <w:p w:rsidR="00EA344D" w:rsidRDefault="00BE211C">
      <w:pPr>
        <w:widowControl/>
        <w:jc w:val="left"/>
        <w:rPr>
          <w:rFonts w:ascii="仿宋" w:eastAsia="仿宋" w:hAnsi="仿宋"/>
          <w:b/>
          <w:sz w:val="32"/>
        </w:rPr>
      </w:pPr>
      <w:r>
        <w:rPr>
          <w:rFonts w:ascii="宋体" w:hAnsi="宋体" w:cs="宋体"/>
          <w:noProof/>
          <w:kern w:val="0"/>
          <w:sz w:val="24"/>
          <w:szCs w:val="24"/>
        </w:rPr>
        <w:drawing>
          <wp:inline distT="0" distB="0" distL="114300" distR="114300">
            <wp:extent cx="5610860" cy="3648710"/>
            <wp:effectExtent l="0" t="0" r="8890" b="889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9"/>
                    <a:stretch>
                      <a:fillRect/>
                    </a:stretch>
                  </pic:blipFill>
                  <pic:spPr>
                    <a:xfrm>
                      <a:off x="0" y="0"/>
                      <a:ext cx="5610860" cy="3648710"/>
                    </a:xfrm>
                    <a:prstGeom prst="rect">
                      <a:avLst/>
                    </a:prstGeom>
                    <a:noFill/>
                    <a:ln w="9525">
                      <a:noFill/>
                    </a:ln>
                  </pic:spPr>
                </pic:pic>
              </a:graphicData>
            </a:graphic>
          </wp:inline>
        </w:drawing>
      </w:r>
    </w:p>
    <w:p w:rsidR="00EA344D" w:rsidRDefault="00BE211C">
      <w:pPr>
        <w:widowControl/>
        <w:spacing w:before="100" w:beforeAutospacing="1" w:after="100" w:afterAutospacing="1" w:line="360" w:lineRule="auto"/>
        <w:jc w:val="left"/>
        <w:rPr>
          <w:rFonts w:ascii="仿宋" w:eastAsia="仿宋" w:hAnsi="仿宋"/>
          <w:b/>
          <w:sz w:val="32"/>
        </w:rPr>
      </w:pPr>
      <w:r>
        <w:rPr>
          <w:rFonts w:ascii="仿宋" w:eastAsia="仿宋" w:hAnsi="仿宋" w:hint="eastAsia"/>
          <w:b/>
          <w:sz w:val="32"/>
        </w:rPr>
        <w:t>七</w:t>
      </w:r>
      <w:hyperlink r:id="rId20" w:history="1">
        <w:r>
          <w:rPr>
            <w:rFonts w:ascii="仿宋" w:eastAsia="仿宋" w:hAnsi="仿宋" w:hint="eastAsia"/>
            <w:b/>
            <w:sz w:val="32"/>
          </w:rPr>
          <w:t>、2021年部门收入总表</w:t>
        </w:r>
      </w:hyperlink>
    </w:p>
    <w:p w:rsidR="00EA344D" w:rsidRDefault="00BE211C">
      <w:pPr>
        <w:widowControl/>
        <w:jc w:val="left"/>
      </w:pPr>
      <w:r>
        <w:rPr>
          <w:rFonts w:ascii="宋体" w:hAnsi="宋体" w:cs="宋体"/>
          <w:noProof/>
          <w:kern w:val="0"/>
          <w:sz w:val="24"/>
          <w:szCs w:val="24"/>
        </w:rPr>
        <w:drawing>
          <wp:inline distT="0" distB="0" distL="114300" distR="114300">
            <wp:extent cx="5648960" cy="3381375"/>
            <wp:effectExtent l="0" t="0" r="889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1"/>
                    <a:stretch>
                      <a:fillRect/>
                    </a:stretch>
                  </pic:blipFill>
                  <pic:spPr>
                    <a:xfrm>
                      <a:off x="0" y="0"/>
                      <a:ext cx="5648960" cy="3381375"/>
                    </a:xfrm>
                    <a:prstGeom prst="rect">
                      <a:avLst/>
                    </a:prstGeom>
                    <a:noFill/>
                    <a:ln w="9525">
                      <a:noFill/>
                    </a:ln>
                  </pic:spPr>
                </pic:pic>
              </a:graphicData>
            </a:graphic>
          </wp:inline>
        </w:drawing>
      </w:r>
    </w:p>
    <w:p w:rsidR="00EA344D" w:rsidRDefault="00EA344D">
      <w:pPr>
        <w:widowControl/>
        <w:spacing w:before="100" w:beforeAutospacing="1" w:after="100" w:afterAutospacing="1" w:line="360" w:lineRule="auto"/>
        <w:jc w:val="left"/>
        <w:rPr>
          <w:rFonts w:ascii="仿宋" w:eastAsia="仿宋" w:hAnsi="仿宋"/>
          <w:b/>
          <w:sz w:val="32"/>
        </w:rPr>
      </w:pPr>
    </w:p>
    <w:p w:rsidR="00EA344D" w:rsidRDefault="00BE211C">
      <w:pPr>
        <w:widowControl/>
        <w:spacing w:before="100" w:beforeAutospacing="1" w:after="100" w:afterAutospacing="1" w:line="360" w:lineRule="auto"/>
        <w:jc w:val="left"/>
        <w:rPr>
          <w:rFonts w:ascii="仿宋" w:eastAsia="仿宋" w:hAnsi="仿宋"/>
          <w:b/>
          <w:sz w:val="32"/>
        </w:rPr>
      </w:pPr>
      <w:r>
        <w:rPr>
          <w:rFonts w:ascii="仿宋" w:eastAsia="仿宋" w:hAnsi="仿宋" w:hint="eastAsia"/>
          <w:b/>
          <w:sz w:val="32"/>
        </w:rPr>
        <w:lastRenderedPageBreak/>
        <w:t>八</w:t>
      </w:r>
      <w:hyperlink r:id="rId22" w:history="1">
        <w:r>
          <w:rPr>
            <w:rFonts w:ascii="仿宋" w:eastAsia="仿宋" w:hAnsi="仿宋" w:hint="eastAsia"/>
            <w:b/>
            <w:sz w:val="32"/>
          </w:rPr>
          <w:t>、2021部门支出总表</w:t>
        </w:r>
      </w:hyperlink>
    </w:p>
    <w:p w:rsidR="00EA344D" w:rsidRDefault="00BE211C">
      <w:pPr>
        <w:widowControl/>
        <w:spacing w:before="100" w:beforeAutospacing="1" w:after="100" w:afterAutospacing="1" w:line="360" w:lineRule="auto"/>
        <w:jc w:val="left"/>
        <w:rPr>
          <w:rFonts w:ascii="仿宋" w:eastAsia="仿宋" w:hAnsi="仿宋"/>
          <w:b/>
          <w:sz w:val="32"/>
        </w:rPr>
      </w:pPr>
      <w:r>
        <w:rPr>
          <w:noProof/>
        </w:rPr>
        <w:drawing>
          <wp:inline distT="0" distB="0" distL="114300" distR="114300">
            <wp:extent cx="5614035" cy="3463290"/>
            <wp:effectExtent l="0" t="0" r="571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3"/>
                    <a:stretch>
                      <a:fillRect/>
                    </a:stretch>
                  </pic:blipFill>
                  <pic:spPr>
                    <a:xfrm>
                      <a:off x="0" y="0"/>
                      <a:ext cx="5614035" cy="3463290"/>
                    </a:xfrm>
                    <a:prstGeom prst="rect">
                      <a:avLst/>
                    </a:prstGeom>
                    <a:noFill/>
                    <a:ln>
                      <a:noFill/>
                    </a:ln>
                  </pic:spPr>
                </pic:pic>
              </a:graphicData>
            </a:graphic>
          </wp:inline>
        </w:drawing>
      </w:r>
    </w:p>
    <w:p w:rsidR="00EA344D" w:rsidRDefault="00EA344D">
      <w:pPr>
        <w:widowControl/>
        <w:jc w:val="left"/>
        <w:rPr>
          <w:rFonts w:ascii="宋体" w:hAnsi="宋体" w:cs="宋体"/>
          <w:kern w:val="0"/>
          <w:sz w:val="24"/>
          <w:szCs w:val="24"/>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EA344D">
      <w:pPr>
        <w:widowControl/>
        <w:spacing w:before="100" w:beforeAutospacing="1" w:after="100" w:afterAutospacing="1" w:line="560" w:lineRule="exact"/>
        <w:jc w:val="center"/>
        <w:rPr>
          <w:rFonts w:ascii="仿宋" w:eastAsia="仿宋" w:hAnsi="仿宋" w:cs="黑体"/>
          <w:b/>
          <w:sz w:val="36"/>
          <w:szCs w:val="36"/>
        </w:rPr>
      </w:pPr>
    </w:p>
    <w:p w:rsidR="00EA344D" w:rsidRDefault="00BE211C">
      <w:pPr>
        <w:widowControl/>
        <w:spacing w:before="100" w:beforeAutospacing="1" w:after="100" w:afterAutospacing="1" w:line="560" w:lineRule="exact"/>
        <w:jc w:val="center"/>
        <w:rPr>
          <w:rFonts w:ascii="仿宋" w:eastAsia="仿宋" w:hAnsi="仿宋" w:cs="Times New Roman"/>
          <w:b/>
          <w:bCs/>
          <w:color w:val="3E3E3E"/>
          <w:kern w:val="0"/>
          <w:sz w:val="36"/>
          <w:szCs w:val="36"/>
        </w:rPr>
      </w:pPr>
      <w:r>
        <w:rPr>
          <w:rFonts w:ascii="仿宋" w:eastAsia="仿宋" w:hAnsi="仿宋" w:cs="黑体" w:hint="eastAsia"/>
          <w:b/>
          <w:sz w:val="36"/>
          <w:szCs w:val="36"/>
        </w:rPr>
        <w:lastRenderedPageBreak/>
        <w:t>第三部分、</w:t>
      </w:r>
      <w:r>
        <w:rPr>
          <w:rFonts w:ascii="仿宋" w:eastAsia="仿宋" w:hAnsi="仿宋" w:cs="黑体"/>
          <w:b/>
          <w:sz w:val="36"/>
          <w:szCs w:val="36"/>
        </w:rPr>
        <w:t>20</w:t>
      </w:r>
      <w:r>
        <w:rPr>
          <w:rFonts w:ascii="仿宋" w:eastAsia="仿宋" w:hAnsi="仿宋" w:cs="黑体" w:hint="eastAsia"/>
          <w:b/>
          <w:sz w:val="36"/>
          <w:szCs w:val="36"/>
        </w:rPr>
        <w:t>21年度部门预算情况说明</w:t>
      </w:r>
    </w:p>
    <w:p w:rsidR="00EA344D" w:rsidRDefault="00BE211C">
      <w:pPr>
        <w:widowControl/>
        <w:spacing w:before="100" w:beforeAutospacing="1" w:after="100" w:afterAutospacing="1" w:line="560" w:lineRule="exact"/>
        <w:ind w:firstLineChars="200" w:firstLine="640"/>
        <w:jc w:val="left"/>
        <w:rPr>
          <w:rFonts w:ascii="仿宋" w:eastAsia="仿宋" w:hAnsi="仿宋"/>
          <w:sz w:val="32"/>
          <w:szCs w:val="32"/>
        </w:rPr>
      </w:pPr>
      <w:r>
        <w:rPr>
          <w:rFonts w:ascii="仿宋" w:eastAsia="仿宋" w:hAnsi="仿宋" w:hint="eastAsia"/>
          <w:sz w:val="32"/>
          <w:szCs w:val="32"/>
        </w:rPr>
        <w:t>2021年，装备财务工作的总体思路是，</w:t>
      </w:r>
      <w:r>
        <w:rPr>
          <w:rFonts w:ascii="仿宋" w:eastAsia="仿宋" w:hAnsi="仿宋" w:hint="eastAsia"/>
          <w:sz w:val="32"/>
        </w:rPr>
        <w:t>全面贯彻中央对公安工作的全面要求，深入落实习近平总书记对公安工作的系列重要讲话，坚持以新时代中国特色社会主义思想为指导，坚持稳中求进工作总基调，履行好党和人民赋予公安工作的新时代职责使命，为严厉打击犯罪，维护治安环境稳定提供有效的资金支持。</w:t>
      </w:r>
    </w:p>
    <w:p w:rsidR="00EA344D" w:rsidRDefault="00BE211C">
      <w:pPr>
        <w:spacing w:line="560" w:lineRule="exact"/>
        <w:ind w:firstLineChars="196" w:firstLine="630"/>
        <w:rPr>
          <w:rFonts w:ascii="仿宋" w:eastAsia="仿宋" w:hAnsi="仿宋" w:cs="Times New Roman"/>
          <w:b/>
          <w:sz w:val="32"/>
          <w:szCs w:val="32"/>
        </w:rPr>
      </w:pPr>
      <w:r>
        <w:rPr>
          <w:rFonts w:ascii="仿宋" w:eastAsia="仿宋" w:hAnsi="仿宋" w:hint="eastAsia"/>
          <w:b/>
          <w:sz w:val="32"/>
          <w:szCs w:val="32"/>
        </w:rPr>
        <w:t>一、</w:t>
      </w:r>
      <w:r>
        <w:rPr>
          <w:rFonts w:ascii="仿宋" w:eastAsia="仿宋" w:hAnsi="仿宋" w:cs="仿宋_GB2312" w:hint="eastAsia"/>
          <w:b/>
          <w:sz w:val="32"/>
          <w:szCs w:val="32"/>
        </w:rPr>
        <w:t>2021年财政拨款收支情况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年财政拨款收支总预算</w:t>
      </w:r>
      <w:r>
        <w:rPr>
          <w:rFonts w:ascii="仿宋" w:eastAsia="仿宋" w:hAnsi="仿宋" w:hint="eastAsia"/>
          <w:sz w:val="32"/>
          <w:szCs w:val="32"/>
        </w:rPr>
        <w:t>5,490.45</w:t>
      </w:r>
      <w:r>
        <w:rPr>
          <w:rFonts w:ascii="仿宋" w:eastAsia="仿宋" w:hAnsi="仿宋"/>
          <w:sz w:val="32"/>
          <w:szCs w:val="32"/>
        </w:rPr>
        <w:t>万元。收入包括：一般公共预算当年</w:t>
      </w:r>
      <w:r>
        <w:rPr>
          <w:rFonts w:ascii="仿宋" w:eastAsia="仿宋" w:hAnsi="仿宋" w:hint="eastAsia"/>
          <w:sz w:val="32"/>
          <w:szCs w:val="32"/>
        </w:rPr>
        <w:t>财政</w:t>
      </w:r>
      <w:r>
        <w:rPr>
          <w:rFonts w:ascii="仿宋" w:eastAsia="仿宋" w:hAnsi="仿宋"/>
          <w:sz w:val="32"/>
          <w:szCs w:val="32"/>
        </w:rPr>
        <w:t>拨款收入</w:t>
      </w:r>
      <w:r>
        <w:rPr>
          <w:rFonts w:ascii="仿宋" w:eastAsia="仿宋" w:hAnsi="仿宋" w:hint="eastAsia"/>
          <w:sz w:val="32"/>
          <w:szCs w:val="32"/>
        </w:rPr>
        <w:t>5,490.45</w:t>
      </w:r>
      <w:r>
        <w:rPr>
          <w:rFonts w:ascii="仿宋" w:eastAsia="仿宋" w:hAnsi="仿宋"/>
          <w:sz w:val="32"/>
          <w:szCs w:val="32"/>
        </w:rPr>
        <w:t>万元。20</w:t>
      </w:r>
      <w:r>
        <w:rPr>
          <w:rFonts w:ascii="仿宋" w:eastAsia="仿宋" w:hAnsi="仿宋" w:hint="eastAsia"/>
          <w:sz w:val="32"/>
          <w:szCs w:val="32"/>
        </w:rPr>
        <w:t>21</w:t>
      </w:r>
      <w:r>
        <w:rPr>
          <w:rFonts w:ascii="仿宋" w:eastAsia="仿宋" w:hAnsi="仿宋"/>
          <w:sz w:val="32"/>
          <w:szCs w:val="32"/>
        </w:rPr>
        <w:t>年财政拨款预算同口径</w:t>
      </w:r>
      <w:r>
        <w:rPr>
          <w:rFonts w:ascii="仿宋" w:eastAsia="仿宋" w:hAnsi="仿宋" w:hint="eastAsia"/>
          <w:sz w:val="32"/>
          <w:szCs w:val="32"/>
        </w:rPr>
        <w:t>较</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年财政拨款预算</w:t>
      </w:r>
      <w:r>
        <w:rPr>
          <w:rFonts w:ascii="仿宋" w:eastAsia="仿宋" w:hAnsi="仿宋" w:hint="eastAsia"/>
          <w:sz w:val="32"/>
          <w:szCs w:val="32"/>
        </w:rPr>
        <w:t>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支出包括：公共安全支出</w:t>
      </w:r>
      <w:r>
        <w:rPr>
          <w:rFonts w:ascii="仿宋" w:eastAsia="仿宋" w:hAnsi="仿宋" w:hint="eastAsia"/>
          <w:sz w:val="32"/>
          <w:szCs w:val="32"/>
        </w:rPr>
        <w:t>4,849.58</w:t>
      </w:r>
      <w:r>
        <w:rPr>
          <w:rFonts w:ascii="仿宋" w:eastAsia="仿宋" w:hAnsi="仿宋"/>
          <w:sz w:val="32"/>
          <w:szCs w:val="32"/>
        </w:rPr>
        <w:t>万元，</w:t>
      </w:r>
      <w:r>
        <w:rPr>
          <w:rFonts w:ascii="仿宋" w:eastAsia="仿宋" w:hAnsi="仿宋" w:hint="eastAsia"/>
          <w:sz w:val="32"/>
          <w:szCs w:val="32"/>
        </w:rPr>
        <w:t>医疗卫生与计划生育支出299.09</w:t>
      </w:r>
      <w:r>
        <w:rPr>
          <w:rFonts w:ascii="仿宋" w:eastAsia="仿宋" w:hAnsi="仿宋"/>
          <w:sz w:val="32"/>
          <w:szCs w:val="32"/>
        </w:rPr>
        <w:t>万元，住房保障支出</w:t>
      </w:r>
      <w:r>
        <w:rPr>
          <w:rFonts w:ascii="仿宋" w:eastAsia="仿宋" w:hAnsi="仿宋" w:hint="eastAsia"/>
          <w:sz w:val="32"/>
          <w:szCs w:val="32"/>
        </w:rPr>
        <w:t>341.78</w:t>
      </w:r>
      <w:r>
        <w:rPr>
          <w:rFonts w:ascii="仿宋" w:eastAsia="仿宋" w:hAnsi="仿宋"/>
          <w:sz w:val="32"/>
          <w:szCs w:val="32"/>
        </w:rPr>
        <w:t>万</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支出较2020年度增加增加280.11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EA344D">
      <w:pPr>
        <w:spacing w:line="560" w:lineRule="exact"/>
        <w:rPr>
          <w:rFonts w:ascii="仿宋" w:eastAsia="仿宋" w:hAnsi="仿宋"/>
          <w:sz w:val="32"/>
          <w:szCs w:val="32"/>
        </w:rPr>
      </w:pPr>
    </w:p>
    <w:p w:rsidR="00EA344D" w:rsidRDefault="00BE211C">
      <w:pPr>
        <w:spacing w:line="560" w:lineRule="exact"/>
        <w:ind w:firstLineChars="200" w:firstLine="643"/>
        <w:rPr>
          <w:rFonts w:ascii="仿宋" w:eastAsia="仿宋" w:hAnsi="仿宋" w:cs="Times New Roman"/>
          <w:b/>
          <w:sz w:val="32"/>
          <w:szCs w:val="32"/>
        </w:rPr>
      </w:pPr>
      <w:r>
        <w:rPr>
          <w:rFonts w:ascii="仿宋" w:eastAsia="仿宋" w:hAnsi="仿宋" w:cs="仿宋_GB2312" w:hint="eastAsia"/>
          <w:b/>
          <w:sz w:val="32"/>
          <w:szCs w:val="32"/>
        </w:rPr>
        <w:t>二、</w:t>
      </w:r>
      <w:r>
        <w:rPr>
          <w:rFonts w:ascii="仿宋" w:eastAsia="仿宋" w:hAnsi="仿宋" w:cs="仿宋_GB2312"/>
          <w:b/>
          <w:sz w:val="32"/>
          <w:szCs w:val="32"/>
        </w:rPr>
        <w:t>20</w:t>
      </w:r>
      <w:r>
        <w:rPr>
          <w:rFonts w:ascii="仿宋" w:eastAsia="仿宋" w:hAnsi="仿宋" w:cs="仿宋_GB2312" w:hint="eastAsia"/>
          <w:b/>
          <w:sz w:val="32"/>
          <w:szCs w:val="32"/>
        </w:rPr>
        <w:t>21年一般公共预算支出情况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2021年一般公共预算当年拨款支出5,490.45万元，较 2020年执行数增加280.11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（一）一般公共预算当年拨款支出构成情况 </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2021年部门预算中，一般公共预算当年拨款用于以下方</w:t>
      </w:r>
      <w:r>
        <w:rPr>
          <w:rFonts w:ascii="仿宋" w:eastAsia="仿宋" w:hAnsi="仿宋" w:hint="eastAsia"/>
          <w:sz w:val="32"/>
          <w:szCs w:val="32"/>
        </w:rPr>
        <w:lastRenderedPageBreak/>
        <w:t>面支出：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1、公共安全（类）支出4,849.58万元，占88.3%，较2020年度增加234.64万元，增幅5.1%。</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2、医疗卫生与计划生育（类）支出299.09</w:t>
      </w:r>
      <w:r>
        <w:rPr>
          <w:rFonts w:ascii="仿宋" w:eastAsia="仿宋" w:hAnsi="仿宋"/>
          <w:sz w:val="32"/>
          <w:szCs w:val="32"/>
        </w:rPr>
        <w:t>万元，</w:t>
      </w:r>
      <w:r>
        <w:rPr>
          <w:rFonts w:ascii="仿宋" w:eastAsia="仿宋" w:hAnsi="仿宋" w:hint="eastAsia"/>
          <w:sz w:val="32"/>
          <w:szCs w:val="32"/>
        </w:rPr>
        <w:t>占5.5%，较2020年度增加21.22万元，增幅7.6%。</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住房保障</w:t>
      </w:r>
      <w:r>
        <w:rPr>
          <w:rFonts w:ascii="仿宋" w:eastAsia="仿宋" w:hAnsi="仿宋" w:hint="eastAsia"/>
          <w:sz w:val="32"/>
          <w:szCs w:val="32"/>
        </w:rPr>
        <w:t>（类）</w:t>
      </w:r>
      <w:r>
        <w:rPr>
          <w:rFonts w:ascii="仿宋" w:eastAsia="仿宋" w:hAnsi="仿宋"/>
          <w:sz w:val="32"/>
          <w:szCs w:val="32"/>
        </w:rPr>
        <w:t>支出</w:t>
      </w:r>
      <w:r>
        <w:rPr>
          <w:rFonts w:ascii="仿宋" w:eastAsia="仿宋" w:hAnsi="仿宋" w:hint="eastAsia"/>
          <w:sz w:val="32"/>
          <w:szCs w:val="32"/>
        </w:rPr>
        <w:t>341.78</w:t>
      </w:r>
      <w:r>
        <w:rPr>
          <w:rFonts w:ascii="仿宋" w:eastAsia="仿宋" w:hAnsi="仿宋"/>
          <w:sz w:val="32"/>
          <w:szCs w:val="32"/>
        </w:rPr>
        <w:t>万</w:t>
      </w:r>
      <w:r>
        <w:rPr>
          <w:rFonts w:ascii="仿宋" w:eastAsia="仿宋" w:hAnsi="仿宋" w:hint="eastAsia"/>
          <w:sz w:val="32"/>
          <w:szCs w:val="32"/>
        </w:rPr>
        <w:t>元，占6.2%，较2020年度增加24.25万元，增幅7.6%。</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（二）一般公共预算当年拨款支出具体使用情况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1、公共安全（类）科目4,849.58万元。主要是基本支出。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基本支出主要是保障市局公安支出类预算单位正常运转、完成日常工作任务而发生的人员经费支出和公用经费支出。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2、医疗卫生与计划生育（类）科目299.09</w:t>
      </w:r>
      <w:r>
        <w:rPr>
          <w:rFonts w:ascii="仿宋" w:eastAsia="仿宋" w:hAnsi="仿宋"/>
          <w:sz w:val="32"/>
          <w:szCs w:val="32"/>
        </w:rPr>
        <w:t>万元</w:t>
      </w:r>
      <w:r>
        <w:rPr>
          <w:rFonts w:ascii="仿宋" w:eastAsia="仿宋" w:hAnsi="仿宋" w:hint="eastAsia"/>
          <w:sz w:val="32"/>
          <w:szCs w:val="32"/>
        </w:rPr>
        <w:t>。主要是用于支付全局在职人员医疗保险、工伤保险、生育保险等单位缴费部分。</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住房保障</w:t>
      </w:r>
      <w:r>
        <w:rPr>
          <w:rFonts w:ascii="仿宋" w:eastAsia="仿宋" w:hAnsi="仿宋" w:hint="eastAsia"/>
          <w:sz w:val="32"/>
          <w:szCs w:val="32"/>
        </w:rPr>
        <w:t>（类）科目341.78</w:t>
      </w:r>
      <w:r>
        <w:rPr>
          <w:rFonts w:ascii="仿宋" w:eastAsia="仿宋" w:hAnsi="仿宋"/>
          <w:sz w:val="32"/>
          <w:szCs w:val="32"/>
        </w:rPr>
        <w:t>万</w:t>
      </w:r>
      <w:r>
        <w:rPr>
          <w:rFonts w:ascii="仿宋" w:eastAsia="仿宋" w:hAnsi="仿宋" w:hint="eastAsia"/>
          <w:sz w:val="32"/>
          <w:szCs w:val="32"/>
        </w:rPr>
        <w:t>元，专项用于为全分局在职人员按规定比例缴纳的住房公积金。</w:t>
      </w:r>
    </w:p>
    <w:p w:rsidR="00EA344D" w:rsidRDefault="00EA344D">
      <w:pPr>
        <w:spacing w:line="560" w:lineRule="exact"/>
        <w:ind w:firstLineChars="200" w:firstLine="643"/>
        <w:rPr>
          <w:rFonts w:ascii="仿宋" w:eastAsia="仿宋" w:hAnsi="仿宋" w:cs="仿宋_GB2312"/>
          <w:b/>
          <w:sz w:val="32"/>
          <w:szCs w:val="32"/>
        </w:rPr>
      </w:pPr>
    </w:p>
    <w:p w:rsidR="00EA344D" w:rsidRDefault="00BE211C">
      <w:pPr>
        <w:spacing w:line="560" w:lineRule="exact"/>
        <w:ind w:firstLineChars="200" w:firstLine="643"/>
        <w:rPr>
          <w:rFonts w:ascii="仿宋" w:eastAsia="仿宋" w:hAnsi="仿宋" w:cs="Times New Roman"/>
          <w:b/>
          <w:sz w:val="32"/>
          <w:szCs w:val="32"/>
        </w:rPr>
      </w:pPr>
      <w:r>
        <w:rPr>
          <w:rFonts w:ascii="仿宋" w:eastAsia="仿宋" w:hAnsi="仿宋" w:cs="仿宋_GB2312" w:hint="eastAsia"/>
          <w:b/>
          <w:sz w:val="32"/>
          <w:szCs w:val="32"/>
        </w:rPr>
        <w:t>三、</w:t>
      </w:r>
      <w:r>
        <w:rPr>
          <w:rFonts w:ascii="仿宋" w:eastAsia="仿宋" w:hAnsi="仿宋" w:cs="仿宋_GB2312"/>
          <w:b/>
          <w:sz w:val="32"/>
          <w:szCs w:val="32"/>
        </w:rPr>
        <w:t>20</w:t>
      </w:r>
      <w:r>
        <w:rPr>
          <w:rFonts w:ascii="仿宋" w:eastAsia="仿宋" w:hAnsi="仿宋" w:cs="仿宋_GB2312" w:hint="eastAsia"/>
          <w:b/>
          <w:sz w:val="32"/>
          <w:szCs w:val="32"/>
        </w:rPr>
        <w:t>21年一般公共预算基本支出情况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年一般公共预算基本支出</w:t>
      </w:r>
      <w:r>
        <w:rPr>
          <w:rFonts w:ascii="仿宋" w:eastAsia="仿宋" w:hAnsi="仿宋" w:hint="eastAsia"/>
          <w:sz w:val="32"/>
          <w:szCs w:val="32"/>
        </w:rPr>
        <w:t>5,490.45</w:t>
      </w:r>
      <w:r>
        <w:rPr>
          <w:rFonts w:ascii="仿宋" w:eastAsia="仿宋" w:hAnsi="仿宋"/>
          <w:sz w:val="32"/>
          <w:szCs w:val="32"/>
        </w:rPr>
        <w:t>万元</w:t>
      </w:r>
      <w:r>
        <w:rPr>
          <w:rFonts w:ascii="仿宋" w:eastAsia="仿宋" w:hAnsi="仿宋" w:hint="eastAsia"/>
          <w:sz w:val="32"/>
          <w:szCs w:val="32"/>
        </w:rPr>
        <w:t>，较上年度增加增加280.11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基本支出是指为保障单位机构正常运转、完成日常工作任务而发生的各项支出，包括人员经费和公用经费。</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其中，人员经费由基本工资、津贴补贴等工资性人员经费和伙食补助、医疗等非工资性人员经费两部分组成；公用经费</w:t>
      </w:r>
      <w:r>
        <w:rPr>
          <w:rFonts w:ascii="仿宋" w:eastAsia="仿宋" w:hAnsi="仿宋"/>
          <w:sz w:val="32"/>
          <w:szCs w:val="32"/>
        </w:rPr>
        <w:lastRenderedPageBreak/>
        <w:t>由办公费、印刷费、水电费、物业管理费、办公设备购置等支出组成。其中：</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人员经费支出</w:t>
      </w:r>
      <w:r>
        <w:rPr>
          <w:rFonts w:ascii="仿宋" w:eastAsia="仿宋" w:hAnsi="仿宋" w:hint="eastAsia"/>
          <w:sz w:val="32"/>
          <w:szCs w:val="32"/>
        </w:rPr>
        <w:t>4,088.45</w:t>
      </w:r>
      <w:r>
        <w:rPr>
          <w:rFonts w:ascii="仿宋" w:eastAsia="仿宋" w:hAnsi="仿宋"/>
          <w:sz w:val="32"/>
          <w:szCs w:val="32"/>
        </w:rPr>
        <w:t>万元，主要包括</w:t>
      </w:r>
      <w:r>
        <w:rPr>
          <w:rFonts w:ascii="仿宋" w:eastAsia="仿宋" w:hAnsi="仿宋" w:hint="eastAsia"/>
          <w:sz w:val="32"/>
          <w:szCs w:val="32"/>
        </w:rPr>
        <w:t>:</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基本工资2,380.05</w:t>
      </w:r>
      <w:r>
        <w:rPr>
          <w:rFonts w:ascii="仿宋" w:eastAsia="仿宋" w:hAnsi="仿宋"/>
          <w:sz w:val="32"/>
          <w:szCs w:val="32"/>
        </w:rPr>
        <w:t>万元、</w:t>
      </w:r>
      <w:r>
        <w:rPr>
          <w:rFonts w:ascii="仿宋" w:eastAsia="仿宋" w:hAnsi="仿宋" w:hint="eastAsia"/>
          <w:sz w:val="32"/>
          <w:szCs w:val="32"/>
        </w:rPr>
        <w:t>津贴补贴873.09万元、奖金26.17万元、单位基本养老保险单位缴费455.75万元、基本医疗保险</w:t>
      </w:r>
      <w:r>
        <w:rPr>
          <w:rFonts w:ascii="仿宋" w:eastAsia="仿宋" w:hAnsi="仿宋"/>
          <w:sz w:val="32"/>
          <w:szCs w:val="32"/>
        </w:rPr>
        <w:t>缴费</w:t>
      </w:r>
      <w:r>
        <w:rPr>
          <w:rFonts w:ascii="仿宋" w:eastAsia="仿宋" w:hAnsi="仿宋" w:hint="eastAsia"/>
          <w:sz w:val="32"/>
          <w:szCs w:val="32"/>
        </w:rPr>
        <w:t>299.09万元、工伤保险5.7万元、退休活动费48.6万元</w:t>
      </w:r>
      <w:r>
        <w:rPr>
          <w:rFonts w:ascii="仿宋" w:eastAsia="仿宋" w:hAnsi="仿宋"/>
          <w:sz w:val="32"/>
          <w:szCs w:val="32"/>
        </w:rPr>
        <w:t>。</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2.公用经费支出</w:t>
      </w:r>
      <w:r>
        <w:rPr>
          <w:rFonts w:ascii="仿宋" w:eastAsia="仿宋" w:hAnsi="仿宋" w:hint="eastAsia"/>
          <w:sz w:val="32"/>
          <w:szCs w:val="32"/>
        </w:rPr>
        <w:t>1,402</w:t>
      </w:r>
      <w:r>
        <w:rPr>
          <w:rFonts w:ascii="仿宋" w:eastAsia="仿宋" w:hAnsi="仿宋"/>
          <w:sz w:val="32"/>
          <w:szCs w:val="32"/>
        </w:rPr>
        <w:t>万元，主要包括</w:t>
      </w:r>
      <w:r>
        <w:rPr>
          <w:rFonts w:ascii="仿宋" w:eastAsia="仿宋" w:hAnsi="仿宋" w:hint="eastAsia"/>
          <w:sz w:val="32"/>
          <w:szCs w:val="32"/>
        </w:rPr>
        <w:t>:</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办公费</w:t>
      </w:r>
      <w:r>
        <w:rPr>
          <w:rFonts w:ascii="仿宋" w:eastAsia="仿宋" w:hAnsi="仿宋" w:hint="eastAsia"/>
          <w:sz w:val="32"/>
          <w:szCs w:val="32"/>
        </w:rPr>
        <w:t>140</w:t>
      </w:r>
      <w:r>
        <w:rPr>
          <w:rFonts w:ascii="仿宋" w:eastAsia="仿宋" w:hAnsi="仿宋"/>
          <w:sz w:val="32"/>
          <w:szCs w:val="32"/>
        </w:rPr>
        <w:t>万元、</w:t>
      </w:r>
      <w:r>
        <w:rPr>
          <w:rFonts w:ascii="仿宋" w:eastAsia="仿宋" w:hAnsi="仿宋" w:hint="eastAsia"/>
          <w:sz w:val="32"/>
          <w:szCs w:val="32"/>
        </w:rPr>
        <w:t>印刷费5万元、咨询费5万元、手续费2万元、</w:t>
      </w:r>
      <w:r>
        <w:rPr>
          <w:rFonts w:ascii="仿宋" w:eastAsia="仿宋" w:hAnsi="仿宋"/>
          <w:sz w:val="32"/>
          <w:szCs w:val="32"/>
        </w:rPr>
        <w:t>水</w:t>
      </w:r>
      <w:r>
        <w:rPr>
          <w:rFonts w:ascii="仿宋" w:eastAsia="仿宋" w:hAnsi="仿宋" w:hint="eastAsia"/>
          <w:sz w:val="32"/>
          <w:szCs w:val="32"/>
        </w:rPr>
        <w:t>费12万元、</w:t>
      </w:r>
      <w:r>
        <w:rPr>
          <w:rFonts w:ascii="仿宋" w:eastAsia="仿宋" w:hAnsi="仿宋"/>
          <w:sz w:val="32"/>
          <w:szCs w:val="32"/>
        </w:rPr>
        <w:t xml:space="preserve">电费 </w:t>
      </w:r>
      <w:r>
        <w:rPr>
          <w:rFonts w:ascii="仿宋" w:eastAsia="仿宋" w:hAnsi="仿宋" w:hint="eastAsia"/>
          <w:sz w:val="32"/>
          <w:szCs w:val="32"/>
        </w:rPr>
        <w:t>25</w:t>
      </w:r>
      <w:r>
        <w:rPr>
          <w:rFonts w:ascii="仿宋" w:eastAsia="仿宋" w:hAnsi="仿宋"/>
          <w:sz w:val="32"/>
          <w:szCs w:val="32"/>
        </w:rPr>
        <w:t>万元、</w:t>
      </w:r>
      <w:r>
        <w:rPr>
          <w:rFonts w:ascii="仿宋" w:eastAsia="仿宋" w:hAnsi="仿宋" w:hint="eastAsia"/>
          <w:sz w:val="32"/>
          <w:szCs w:val="32"/>
        </w:rPr>
        <w:t>邮电费15万元、</w:t>
      </w:r>
      <w:r>
        <w:rPr>
          <w:rFonts w:ascii="仿宋" w:eastAsia="仿宋" w:hAnsi="仿宋"/>
          <w:sz w:val="32"/>
          <w:szCs w:val="32"/>
        </w:rPr>
        <w:t>取暖费</w:t>
      </w:r>
      <w:r>
        <w:rPr>
          <w:rFonts w:ascii="仿宋" w:eastAsia="仿宋" w:hAnsi="仿宋" w:hint="eastAsia"/>
          <w:sz w:val="32"/>
          <w:szCs w:val="32"/>
        </w:rPr>
        <w:t>62</w:t>
      </w:r>
      <w:r>
        <w:rPr>
          <w:rFonts w:ascii="仿宋" w:eastAsia="仿宋" w:hAnsi="仿宋"/>
          <w:sz w:val="32"/>
          <w:szCs w:val="32"/>
        </w:rPr>
        <w:t>万元、</w:t>
      </w:r>
      <w:r>
        <w:rPr>
          <w:rFonts w:ascii="仿宋" w:eastAsia="仿宋" w:hAnsi="仿宋" w:hint="eastAsia"/>
          <w:sz w:val="32"/>
          <w:szCs w:val="32"/>
        </w:rPr>
        <w:t>物业管理费17万元、差旅费90万元、维修(护)80万元、租赁费10万元、培训费21.18万元、招待费12.71万元、劳务费10万元、委托业务费56.17万元、工会经费63.54万元、福利费79.88万元、公务用车运行维护费368万元、其他交通费用257.38万元、办公设备购置费70.14万元。</w:t>
      </w:r>
    </w:p>
    <w:p w:rsidR="00EA344D" w:rsidRDefault="00EA344D">
      <w:pPr>
        <w:spacing w:line="560" w:lineRule="exact"/>
        <w:ind w:firstLineChars="200" w:firstLine="643"/>
        <w:rPr>
          <w:rFonts w:ascii="仿宋" w:eastAsia="仿宋" w:hAnsi="仿宋" w:cs="仿宋_GB2312"/>
          <w:b/>
          <w:sz w:val="32"/>
          <w:szCs w:val="32"/>
        </w:rPr>
      </w:pPr>
    </w:p>
    <w:p w:rsidR="00EA344D" w:rsidRDefault="00BE211C">
      <w:pPr>
        <w:spacing w:line="560" w:lineRule="exact"/>
        <w:ind w:firstLineChars="200" w:firstLine="643"/>
        <w:rPr>
          <w:rFonts w:ascii="仿宋" w:eastAsia="仿宋" w:hAnsi="仿宋" w:cs="Times New Roman"/>
          <w:b/>
          <w:sz w:val="32"/>
          <w:szCs w:val="32"/>
        </w:rPr>
      </w:pPr>
      <w:r>
        <w:rPr>
          <w:rFonts w:ascii="仿宋" w:eastAsia="仿宋" w:hAnsi="仿宋" w:cs="仿宋_GB2312" w:hint="eastAsia"/>
          <w:b/>
          <w:sz w:val="32"/>
          <w:szCs w:val="32"/>
        </w:rPr>
        <w:t>四、</w:t>
      </w:r>
      <w:r>
        <w:rPr>
          <w:rFonts w:ascii="仿宋" w:eastAsia="仿宋" w:hAnsi="仿宋" w:cs="仿宋_GB2312"/>
          <w:b/>
          <w:sz w:val="32"/>
          <w:szCs w:val="32"/>
        </w:rPr>
        <w:t>20</w:t>
      </w:r>
      <w:r>
        <w:rPr>
          <w:rFonts w:ascii="仿宋" w:eastAsia="仿宋" w:hAnsi="仿宋" w:cs="仿宋_GB2312" w:hint="eastAsia"/>
          <w:b/>
          <w:sz w:val="32"/>
          <w:szCs w:val="32"/>
        </w:rPr>
        <w:t>21年一般公共预算“三公”经费支出表情况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年“三公”经费财政拨款预算</w:t>
      </w:r>
      <w:r>
        <w:rPr>
          <w:rFonts w:ascii="仿宋" w:eastAsia="仿宋" w:hAnsi="仿宋" w:hint="eastAsia"/>
          <w:sz w:val="32"/>
          <w:szCs w:val="32"/>
        </w:rPr>
        <w:t>380.71</w:t>
      </w:r>
      <w:r>
        <w:rPr>
          <w:rFonts w:ascii="仿宋" w:eastAsia="仿宋" w:hAnsi="仿宋"/>
          <w:sz w:val="32"/>
          <w:szCs w:val="32"/>
        </w:rPr>
        <w:t xml:space="preserve">万元，其中：因公出国（境）费 </w:t>
      </w:r>
      <w:r>
        <w:rPr>
          <w:rFonts w:ascii="仿宋" w:eastAsia="仿宋" w:hAnsi="仿宋" w:hint="eastAsia"/>
          <w:sz w:val="32"/>
          <w:szCs w:val="32"/>
        </w:rPr>
        <w:t>0</w:t>
      </w:r>
      <w:r>
        <w:rPr>
          <w:rFonts w:ascii="仿宋" w:eastAsia="仿宋" w:hAnsi="仿宋"/>
          <w:sz w:val="32"/>
          <w:szCs w:val="32"/>
        </w:rPr>
        <w:t>万元，公务接待费</w:t>
      </w:r>
      <w:r>
        <w:rPr>
          <w:rFonts w:ascii="仿宋" w:eastAsia="仿宋" w:hAnsi="仿宋" w:hint="eastAsia"/>
          <w:sz w:val="32"/>
          <w:szCs w:val="32"/>
        </w:rPr>
        <w:t>12.71</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公务用车运行费</w:t>
      </w:r>
      <w:r>
        <w:rPr>
          <w:rFonts w:ascii="仿宋" w:eastAsia="仿宋" w:hAnsi="仿宋" w:hint="eastAsia"/>
          <w:sz w:val="32"/>
          <w:szCs w:val="32"/>
        </w:rPr>
        <w:t>368</w:t>
      </w:r>
      <w:r>
        <w:rPr>
          <w:rFonts w:ascii="仿宋" w:eastAsia="仿宋" w:hAnsi="仿宋"/>
          <w:sz w:val="32"/>
          <w:szCs w:val="32"/>
        </w:rPr>
        <w:t>万元，公务用车购置费</w:t>
      </w:r>
      <w:r>
        <w:rPr>
          <w:rFonts w:ascii="仿宋" w:eastAsia="仿宋" w:hAnsi="仿宋" w:hint="eastAsia"/>
          <w:sz w:val="32"/>
          <w:szCs w:val="32"/>
        </w:rPr>
        <w:t>0</w:t>
      </w:r>
      <w:r>
        <w:rPr>
          <w:rFonts w:ascii="仿宋" w:eastAsia="仿宋" w:hAnsi="仿宋"/>
          <w:sz w:val="32"/>
          <w:szCs w:val="32"/>
        </w:rPr>
        <w:t>万元。 20</w:t>
      </w:r>
      <w:r>
        <w:rPr>
          <w:rFonts w:ascii="仿宋" w:eastAsia="仿宋" w:hAnsi="仿宋" w:hint="eastAsia"/>
          <w:sz w:val="32"/>
          <w:szCs w:val="32"/>
        </w:rPr>
        <w:t>21</w:t>
      </w:r>
      <w:r>
        <w:rPr>
          <w:rFonts w:ascii="仿宋" w:eastAsia="仿宋" w:hAnsi="仿宋"/>
          <w:sz w:val="32"/>
          <w:szCs w:val="32"/>
        </w:rPr>
        <w:t>年预算数比 20</w:t>
      </w:r>
      <w:r>
        <w:rPr>
          <w:rFonts w:ascii="仿宋" w:eastAsia="仿宋" w:hAnsi="仿宋" w:hint="eastAsia"/>
          <w:sz w:val="32"/>
          <w:szCs w:val="32"/>
        </w:rPr>
        <w:t>20</w:t>
      </w:r>
      <w:r>
        <w:rPr>
          <w:rFonts w:ascii="仿宋" w:eastAsia="仿宋" w:hAnsi="仿宋"/>
          <w:sz w:val="32"/>
          <w:szCs w:val="32"/>
        </w:rPr>
        <w:t>年预算数</w:t>
      </w:r>
      <w:r>
        <w:rPr>
          <w:rFonts w:ascii="仿宋" w:eastAsia="仿宋" w:hAnsi="仿宋" w:hint="eastAsia"/>
          <w:sz w:val="32"/>
          <w:szCs w:val="32"/>
        </w:rPr>
        <w:t>增加0.65</w:t>
      </w:r>
      <w:r>
        <w:rPr>
          <w:rFonts w:ascii="仿宋" w:eastAsia="仿宋" w:hAnsi="仿宋"/>
          <w:sz w:val="32"/>
          <w:szCs w:val="32"/>
        </w:rPr>
        <w:t>万元。其中：因公出国（境）费</w:t>
      </w:r>
      <w:r>
        <w:rPr>
          <w:rFonts w:ascii="仿宋" w:eastAsia="仿宋" w:hAnsi="仿宋" w:hint="eastAsia"/>
          <w:sz w:val="32"/>
          <w:szCs w:val="32"/>
        </w:rPr>
        <w:t>、</w:t>
      </w:r>
      <w:r>
        <w:rPr>
          <w:rFonts w:ascii="仿宋" w:eastAsia="仿宋" w:hAnsi="仿宋"/>
          <w:sz w:val="32"/>
          <w:szCs w:val="32"/>
        </w:rPr>
        <w:t>公务用车运行费和公务用车购置费与 20</w:t>
      </w:r>
      <w:r>
        <w:rPr>
          <w:rFonts w:ascii="仿宋" w:eastAsia="仿宋" w:hAnsi="仿宋" w:hint="eastAsia"/>
          <w:sz w:val="32"/>
          <w:szCs w:val="32"/>
        </w:rPr>
        <w:t>20</w:t>
      </w:r>
      <w:r>
        <w:rPr>
          <w:rFonts w:ascii="仿宋" w:eastAsia="仿宋" w:hAnsi="仿宋"/>
          <w:sz w:val="32"/>
          <w:szCs w:val="32"/>
        </w:rPr>
        <w:t>年持平；公务接待费</w:t>
      </w:r>
      <w:r>
        <w:rPr>
          <w:rFonts w:ascii="仿宋" w:eastAsia="仿宋" w:hAnsi="仿宋" w:hint="eastAsia"/>
          <w:sz w:val="32"/>
          <w:szCs w:val="32"/>
        </w:rPr>
        <w:t>较</w:t>
      </w:r>
      <w:r>
        <w:rPr>
          <w:rFonts w:ascii="仿宋" w:eastAsia="仿宋" w:hAnsi="仿宋"/>
          <w:sz w:val="32"/>
          <w:szCs w:val="32"/>
        </w:rPr>
        <w:t xml:space="preserve"> 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增加0.65万元，</w:t>
      </w:r>
      <w:r>
        <w:rPr>
          <w:rFonts w:ascii="仿宋" w:eastAsia="仿宋" w:hAnsi="仿宋"/>
          <w:sz w:val="32"/>
          <w:szCs w:val="32"/>
        </w:rPr>
        <w:t>主要</w:t>
      </w:r>
      <w:r>
        <w:rPr>
          <w:rFonts w:ascii="仿宋" w:eastAsia="仿宋" w:hAnsi="仿宋" w:hint="eastAsia"/>
          <w:sz w:val="32"/>
          <w:szCs w:val="32"/>
        </w:rPr>
        <w:t>原因是在职人员及业务量增加，相应调整公务接待费预算。</w:t>
      </w:r>
    </w:p>
    <w:p w:rsidR="00EA344D" w:rsidRDefault="00EA344D">
      <w:pPr>
        <w:spacing w:line="560" w:lineRule="exact"/>
        <w:ind w:firstLineChars="200" w:firstLine="643"/>
        <w:rPr>
          <w:rFonts w:ascii="仿宋" w:eastAsia="仿宋" w:hAnsi="仿宋" w:cs="仿宋_GB2312"/>
          <w:b/>
          <w:sz w:val="32"/>
          <w:szCs w:val="32"/>
        </w:rPr>
      </w:pPr>
    </w:p>
    <w:p w:rsidR="00EA344D" w:rsidRDefault="00BE211C">
      <w:pPr>
        <w:spacing w:line="560" w:lineRule="exact"/>
        <w:ind w:firstLineChars="200" w:firstLine="643"/>
        <w:rPr>
          <w:rFonts w:ascii="仿宋" w:eastAsia="仿宋" w:hAnsi="仿宋" w:cs="Times New Roman"/>
          <w:b/>
          <w:sz w:val="32"/>
          <w:szCs w:val="32"/>
        </w:rPr>
      </w:pPr>
      <w:r>
        <w:rPr>
          <w:rFonts w:ascii="仿宋" w:eastAsia="仿宋" w:hAnsi="仿宋" w:cs="仿宋_GB2312" w:hint="eastAsia"/>
          <w:b/>
          <w:sz w:val="32"/>
          <w:szCs w:val="32"/>
        </w:rPr>
        <w:t>五、</w:t>
      </w:r>
      <w:r>
        <w:rPr>
          <w:rFonts w:ascii="仿宋" w:eastAsia="仿宋" w:hAnsi="仿宋" w:cs="仿宋_GB2312"/>
          <w:b/>
          <w:sz w:val="32"/>
          <w:szCs w:val="32"/>
        </w:rPr>
        <w:t>20</w:t>
      </w:r>
      <w:r>
        <w:rPr>
          <w:rFonts w:ascii="仿宋" w:eastAsia="仿宋" w:hAnsi="仿宋" w:cs="仿宋_GB2312" w:hint="eastAsia"/>
          <w:b/>
          <w:sz w:val="32"/>
          <w:szCs w:val="32"/>
        </w:rPr>
        <w:t>21年政府性基金预算支出表情况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w:t>
      </w:r>
      <w:r>
        <w:rPr>
          <w:rFonts w:ascii="仿宋" w:eastAsia="仿宋" w:hAnsi="仿宋" w:hint="eastAsia"/>
          <w:sz w:val="32"/>
          <w:szCs w:val="32"/>
        </w:rPr>
        <w:t>度无</w:t>
      </w:r>
      <w:r>
        <w:rPr>
          <w:rFonts w:ascii="仿宋" w:eastAsia="仿宋" w:hAnsi="仿宋"/>
          <w:sz w:val="32"/>
          <w:szCs w:val="32"/>
        </w:rPr>
        <w:t>政府性基金预算支出。</w:t>
      </w:r>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3"/>
        <w:rPr>
          <w:rFonts w:ascii="仿宋" w:eastAsia="仿宋" w:hAnsi="仿宋" w:cs="Times New Roman"/>
          <w:b/>
          <w:sz w:val="32"/>
          <w:szCs w:val="32"/>
        </w:rPr>
      </w:pPr>
      <w:r>
        <w:rPr>
          <w:rFonts w:ascii="仿宋" w:eastAsia="仿宋" w:hAnsi="仿宋" w:cs="仿宋_GB2312" w:hint="eastAsia"/>
          <w:b/>
          <w:sz w:val="32"/>
          <w:szCs w:val="32"/>
        </w:rPr>
        <w:t>六、</w:t>
      </w:r>
      <w:r>
        <w:rPr>
          <w:rFonts w:ascii="仿宋" w:eastAsia="仿宋" w:hAnsi="仿宋" w:cs="仿宋_GB2312"/>
          <w:b/>
          <w:sz w:val="32"/>
          <w:szCs w:val="32"/>
        </w:rPr>
        <w:t>20</w:t>
      </w:r>
      <w:r>
        <w:rPr>
          <w:rFonts w:ascii="仿宋" w:eastAsia="仿宋" w:hAnsi="仿宋" w:cs="仿宋_GB2312" w:hint="eastAsia"/>
          <w:b/>
          <w:sz w:val="32"/>
          <w:szCs w:val="32"/>
        </w:rPr>
        <w:t>21年部门收支总表情况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所有收入和支出均纳入部门预算管理。20</w:t>
      </w:r>
      <w:r>
        <w:rPr>
          <w:rFonts w:ascii="仿宋" w:eastAsia="仿宋" w:hAnsi="仿宋" w:hint="eastAsia"/>
          <w:sz w:val="32"/>
          <w:szCs w:val="32"/>
        </w:rPr>
        <w:t>21</w:t>
      </w:r>
      <w:r>
        <w:rPr>
          <w:rFonts w:ascii="仿宋" w:eastAsia="仿宋" w:hAnsi="仿宋"/>
          <w:sz w:val="32"/>
          <w:szCs w:val="32"/>
        </w:rPr>
        <w:t>年预算总收入为</w:t>
      </w:r>
      <w:r>
        <w:rPr>
          <w:rFonts w:ascii="仿宋" w:eastAsia="仿宋" w:hAnsi="仿宋" w:hint="eastAsia"/>
          <w:sz w:val="32"/>
          <w:szCs w:val="32"/>
        </w:rPr>
        <w:t>5,490.45</w:t>
      </w:r>
      <w:r>
        <w:rPr>
          <w:rFonts w:ascii="仿宋" w:eastAsia="仿宋" w:hAnsi="仿宋"/>
          <w:sz w:val="32"/>
          <w:szCs w:val="32"/>
        </w:rPr>
        <w:t>万元，其中，一般公共预算财政拨款收入</w:t>
      </w:r>
      <w:r>
        <w:rPr>
          <w:rFonts w:ascii="仿宋" w:eastAsia="仿宋" w:hAnsi="仿宋" w:hint="eastAsia"/>
          <w:sz w:val="32"/>
          <w:szCs w:val="32"/>
        </w:rPr>
        <w:t>5,490.45</w:t>
      </w:r>
      <w:r>
        <w:rPr>
          <w:rFonts w:ascii="仿宋" w:eastAsia="仿宋" w:hAnsi="仿宋"/>
          <w:sz w:val="32"/>
          <w:szCs w:val="32"/>
        </w:rPr>
        <w:t>万元。20</w:t>
      </w:r>
      <w:r>
        <w:rPr>
          <w:rFonts w:ascii="仿宋" w:eastAsia="仿宋" w:hAnsi="仿宋" w:hint="eastAsia"/>
          <w:sz w:val="32"/>
          <w:szCs w:val="32"/>
        </w:rPr>
        <w:t>21</w:t>
      </w:r>
      <w:r>
        <w:rPr>
          <w:rFonts w:ascii="仿宋" w:eastAsia="仿宋" w:hAnsi="仿宋"/>
          <w:sz w:val="32"/>
          <w:szCs w:val="32"/>
        </w:rPr>
        <w:t>年</w:t>
      </w:r>
      <w:r>
        <w:rPr>
          <w:rFonts w:ascii="仿宋" w:eastAsia="仿宋" w:hAnsi="仿宋" w:hint="eastAsia"/>
          <w:sz w:val="32"/>
          <w:szCs w:val="32"/>
        </w:rPr>
        <w:t>收入</w:t>
      </w:r>
      <w:r>
        <w:rPr>
          <w:rFonts w:ascii="仿宋" w:eastAsia="仿宋" w:hAnsi="仿宋"/>
          <w:sz w:val="32"/>
          <w:szCs w:val="32"/>
        </w:rPr>
        <w:t>同口径比 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执行数增加280.11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sz w:val="32"/>
          <w:szCs w:val="32"/>
        </w:rPr>
        <w:t>年预算总支出</w:t>
      </w:r>
      <w:r>
        <w:rPr>
          <w:rFonts w:ascii="仿宋" w:eastAsia="仿宋" w:hAnsi="仿宋" w:hint="eastAsia"/>
          <w:sz w:val="32"/>
          <w:szCs w:val="32"/>
        </w:rPr>
        <w:t>5,490.45</w:t>
      </w:r>
      <w:r>
        <w:rPr>
          <w:rFonts w:ascii="仿宋" w:eastAsia="仿宋" w:hAnsi="仿宋"/>
          <w:sz w:val="32"/>
          <w:szCs w:val="32"/>
        </w:rPr>
        <w:t>万元，其中公共安全支出</w:t>
      </w:r>
      <w:r>
        <w:rPr>
          <w:rFonts w:ascii="仿宋" w:eastAsia="仿宋" w:hAnsi="仿宋" w:hint="eastAsia"/>
          <w:sz w:val="32"/>
          <w:szCs w:val="32"/>
        </w:rPr>
        <w:t>4,849.58</w:t>
      </w:r>
      <w:r>
        <w:rPr>
          <w:rFonts w:ascii="仿宋" w:eastAsia="仿宋" w:hAnsi="仿宋"/>
          <w:sz w:val="32"/>
          <w:szCs w:val="32"/>
        </w:rPr>
        <w:t>万元，</w:t>
      </w:r>
      <w:r>
        <w:rPr>
          <w:rFonts w:ascii="仿宋" w:eastAsia="仿宋" w:hAnsi="仿宋" w:hint="eastAsia"/>
          <w:sz w:val="32"/>
          <w:szCs w:val="32"/>
        </w:rPr>
        <w:t>医疗卫生与计划生育支出299.09</w:t>
      </w:r>
      <w:r>
        <w:rPr>
          <w:rFonts w:ascii="仿宋" w:eastAsia="仿宋" w:hAnsi="仿宋"/>
          <w:sz w:val="32"/>
          <w:szCs w:val="32"/>
        </w:rPr>
        <w:t>万元，住房保障支出</w:t>
      </w:r>
      <w:r>
        <w:rPr>
          <w:rFonts w:ascii="仿宋" w:eastAsia="仿宋" w:hAnsi="仿宋" w:hint="eastAsia"/>
          <w:sz w:val="32"/>
          <w:szCs w:val="32"/>
        </w:rPr>
        <w:t>341.78</w:t>
      </w:r>
      <w:r>
        <w:rPr>
          <w:rFonts w:ascii="仿宋" w:eastAsia="仿宋" w:hAnsi="仿宋"/>
          <w:sz w:val="32"/>
          <w:szCs w:val="32"/>
        </w:rPr>
        <w:t>万</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支出较2020年度增加280.11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 xml:space="preserve">七、2021年部门收入总表情况 </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年收入预算</w:t>
      </w:r>
      <w:r>
        <w:rPr>
          <w:rFonts w:ascii="仿宋" w:eastAsia="仿宋" w:hAnsi="仿宋" w:hint="eastAsia"/>
          <w:sz w:val="32"/>
          <w:szCs w:val="32"/>
        </w:rPr>
        <w:t>5,490.45</w:t>
      </w:r>
      <w:r>
        <w:rPr>
          <w:rFonts w:ascii="仿宋" w:eastAsia="仿宋" w:hAnsi="仿宋"/>
          <w:sz w:val="32"/>
          <w:szCs w:val="32"/>
        </w:rPr>
        <w:t>万元，其中：一般公共预算财政拨款收入</w:t>
      </w:r>
      <w:r>
        <w:rPr>
          <w:rFonts w:ascii="仿宋" w:eastAsia="仿宋" w:hAnsi="仿宋" w:hint="eastAsia"/>
          <w:sz w:val="32"/>
          <w:szCs w:val="32"/>
        </w:rPr>
        <w:t>5,490.45</w:t>
      </w:r>
      <w:r>
        <w:rPr>
          <w:rFonts w:ascii="仿宋" w:eastAsia="仿宋" w:hAnsi="仿宋"/>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。收入较</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执行数增加280.11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人员纳入社保，增加在职人员养老保险支出。</w:t>
      </w:r>
    </w:p>
    <w:p w:rsidR="00EA344D" w:rsidRDefault="00EA344D">
      <w:pPr>
        <w:spacing w:line="560" w:lineRule="exact"/>
        <w:ind w:firstLineChars="200" w:firstLine="640"/>
        <w:rPr>
          <w:rFonts w:ascii="仿宋" w:eastAsia="仿宋" w:hAnsi="仿宋" w:cs="仿宋_GB2312"/>
          <w:sz w:val="32"/>
          <w:szCs w:val="32"/>
        </w:rPr>
      </w:pP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八、2021年部门支出总表情况</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年支出预算为</w:t>
      </w:r>
      <w:r>
        <w:rPr>
          <w:rFonts w:ascii="仿宋" w:eastAsia="仿宋" w:hAnsi="仿宋" w:hint="eastAsia"/>
          <w:sz w:val="32"/>
          <w:szCs w:val="32"/>
        </w:rPr>
        <w:t>5,490.45</w:t>
      </w:r>
      <w:r>
        <w:rPr>
          <w:rFonts w:ascii="仿宋" w:eastAsia="仿宋" w:hAnsi="仿宋"/>
          <w:sz w:val="32"/>
          <w:szCs w:val="32"/>
        </w:rPr>
        <w:t>万元。</w:t>
      </w:r>
      <w:r>
        <w:rPr>
          <w:rFonts w:ascii="仿宋" w:eastAsia="仿宋" w:hAnsi="仿宋" w:hint="eastAsia"/>
          <w:sz w:val="32"/>
          <w:szCs w:val="32"/>
        </w:rPr>
        <w:t>支出较</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执行</w:t>
      </w:r>
      <w:r>
        <w:rPr>
          <w:rFonts w:ascii="仿宋" w:eastAsia="仿宋" w:hAnsi="仿宋" w:hint="eastAsia"/>
          <w:sz w:val="32"/>
          <w:szCs w:val="32"/>
        </w:rPr>
        <w:lastRenderedPageBreak/>
        <w:t>数增加增加280.11</w:t>
      </w:r>
      <w:r>
        <w:rPr>
          <w:rFonts w:ascii="仿宋" w:eastAsia="仿宋" w:hAnsi="仿宋"/>
          <w:sz w:val="32"/>
          <w:szCs w:val="32"/>
        </w:rPr>
        <w:t>万元</w:t>
      </w:r>
      <w:r>
        <w:rPr>
          <w:rFonts w:ascii="仿宋" w:eastAsia="仿宋" w:hAnsi="仿宋" w:hint="eastAsia"/>
          <w:sz w:val="32"/>
          <w:szCs w:val="32"/>
        </w:rPr>
        <w:t>,增幅5.4%</w:t>
      </w:r>
      <w:r>
        <w:rPr>
          <w:rFonts w:ascii="仿宋" w:eastAsia="仿宋" w:hAnsi="仿宋"/>
          <w:sz w:val="32"/>
          <w:szCs w:val="32"/>
        </w:rPr>
        <w:t>，主要是</w:t>
      </w:r>
      <w:r>
        <w:rPr>
          <w:rFonts w:ascii="仿宋" w:eastAsia="仿宋" w:hAnsi="仿宋" w:hint="eastAsia"/>
          <w:sz w:val="32"/>
          <w:szCs w:val="32"/>
        </w:rPr>
        <w:t xml:space="preserve">人员纳入社保，增加在职人员养老保险支出。   </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 xml:space="preserve">其中：基本支出 </w:t>
      </w:r>
      <w:r>
        <w:rPr>
          <w:rFonts w:ascii="仿宋" w:eastAsia="仿宋" w:hAnsi="仿宋" w:hint="eastAsia"/>
          <w:sz w:val="32"/>
          <w:szCs w:val="32"/>
        </w:rPr>
        <w:t>5,490.45</w:t>
      </w:r>
      <w:r>
        <w:rPr>
          <w:rFonts w:ascii="仿宋" w:eastAsia="仿宋" w:hAnsi="仿宋"/>
          <w:sz w:val="32"/>
          <w:szCs w:val="32"/>
        </w:rPr>
        <w:t>万元，占</w:t>
      </w:r>
      <w:r>
        <w:rPr>
          <w:rFonts w:ascii="仿宋" w:eastAsia="仿宋" w:hAnsi="仿宋" w:hint="eastAsia"/>
          <w:sz w:val="32"/>
          <w:szCs w:val="32"/>
        </w:rPr>
        <w:t>100</w:t>
      </w:r>
      <w:r>
        <w:rPr>
          <w:rFonts w:ascii="仿宋" w:eastAsia="仿宋" w:hAnsi="仿宋"/>
          <w:sz w:val="32"/>
          <w:szCs w:val="32"/>
        </w:rPr>
        <w:t>%。</w:t>
      </w:r>
    </w:p>
    <w:p w:rsidR="00EA344D" w:rsidRDefault="00EA344D">
      <w:pPr>
        <w:spacing w:line="560" w:lineRule="exact"/>
        <w:ind w:firstLineChars="200" w:firstLine="643"/>
        <w:rPr>
          <w:rFonts w:ascii="仿宋" w:eastAsia="仿宋" w:hAnsi="仿宋" w:cs="仿宋_GB2312"/>
          <w:b/>
          <w:sz w:val="32"/>
          <w:szCs w:val="32"/>
        </w:rPr>
      </w:pPr>
    </w:p>
    <w:p w:rsidR="00EA344D" w:rsidRDefault="00BE211C">
      <w:pPr>
        <w:spacing w:line="56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九、机关运行经费支出情况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2021年机关运行经费财政拨款支出1,402万元，比2020年增加51.67万元，增加主要原因在职人员增加20人，运行经费相应增加支出。</w:t>
      </w:r>
      <w:bookmarkStart w:id="0" w:name="_GoBack"/>
      <w:bookmarkEnd w:id="0"/>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十、政府采购支出情况</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2021年</w:t>
      </w:r>
      <w:r>
        <w:rPr>
          <w:rFonts w:ascii="仿宋" w:eastAsia="仿宋" w:hAnsi="仿宋"/>
          <w:sz w:val="32"/>
          <w:szCs w:val="32"/>
        </w:rPr>
        <w:t>采购预算总额</w:t>
      </w:r>
      <w:r>
        <w:rPr>
          <w:rFonts w:ascii="仿宋" w:eastAsia="仿宋" w:hAnsi="仿宋" w:hint="eastAsia"/>
          <w:sz w:val="32"/>
          <w:szCs w:val="32"/>
        </w:rPr>
        <w:t>200</w:t>
      </w:r>
      <w:r>
        <w:rPr>
          <w:rFonts w:ascii="仿宋" w:eastAsia="仿宋" w:hAnsi="仿宋"/>
          <w:sz w:val="32"/>
          <w:szCs w:val="32"/>
        </w:rPr>
        <w:t>万元，其中：政府采购货物预算</w:t>
      </w:r>
      <w:r>
        <w:rPr>
          <w:rFonts w:ascii="仿宋" w:eastAsia="仿宋" w:hAnsi="仿宋" w:hint="eastAsia"/>
          <w:sz w:val="32"/>
          <w:szCs w:val="32"/>
        </w:rPr>
        <w:t>200</w:t>
      </w:r>
      <w:r>
        <w:rPr>
          <w:rFonts w:ascii="仿宋" w:eastAsia="仿宋" w:hAnsi="仿宋"/>
          <w:sz w:val="32"/>
          <w:szCs w:val="32"/>
        </w:rPr>
        <w:t>万元</w:t>
      </w:r>
      <w:r>
        <w:rPr>
          <w:rFonts w:ascii="仿宋" w:eastAsia="仿宋" w:hAnsi="仿宋" w:hint="eastAsia"/>
          <w:sz w:val="32"/>
          <w:szCs w:val="32"/>
        </w:rPr>
        <w:t>，占采购总额100%</w:t>
      </w:r>
      <w:r>
        <w:rPr>
          <w:rFonts w:ascii="仿宋" w:eastAsia="仿宋" w:hAnsi="仿宋"/>
          <w:sz w:val="32"/>
          <w:szCs w:val="32"/>
        </w:rPr>
        <w:t>。</w:t>
      </w:r>
    </w:p>
    <w:p w:rsidR="00EA344D" w:rsidRDefault="00EA344D">
      <w:pPr>
        <w:spacing w:line="560" w:lineRule="exact"/>
        <w:ind w:firstLineChars="196" w:firstLine="627"/>
        <w:rPr>
          <w:rFonts w:ascii="仿宋" w:eastAsia="仿宋" w:hAnsi="仿宋"/>
          <w:sz w:val="32"/>
          <w:szCs w:val="32"/>
        </w:rPr>
      </w:pPr>
    </w:p>
    <w:p w:rsidR="00EA344D" w:rsidRDefault="00BE211C">
      <w:pPr>
        <w:spacing w:line="560" w:lineRule="exact"/>
        <w:ind w:firstLineChars="196" w:firstLine="630"/>
        <w:rPr>
          <w:rFonts w:ascii="仿宋" w:eastAsia="仿宋" w:hAnsi="仿宋" w:cs="仿宋_GB2312"/>
          <w:b/>
          <w:sz w:val="32"/>
          <w:szCs w:val="32"/>
        </w:rPr>
      </w:pPr>
      <w:r>
        <w:rPr>
          <w:rFonts w:ascii="仿宋" w:eastAsia="仿宋" w:hAnsi="仿宋" w:cs="仿宋_GB2312" w:hint="eastAsia"/>
          <w:b/>
          <w:sz w:val="32"/>
          <w:szCs w:val="32"/>
        </w:rPr>
        <w:t>十一、国有资产占用情况</w:t>
      </w:r>
    </w:p>
    <w:p w:rsidR="00EA344D" w:rsidRPr="00E17216" w:rsidRDefault="00BE211C">
      <w:pPr>
        <w:spacing w:line="560" w:lineRule="exact"/>
        <w:ind w:firstLine="645"/>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截止到2021年初，长春市公安局汽开分局账面</w:t>
      </w:r>
      <w:r w:rsidRPr="00E17216">
        <w:rPr>
          <w:rFonts w:ascii="仿宋" w:eastAsia="仿宋" w:hAnsi="仿宋"/>
          <w:color w:val="262626" w:themeColor="text1" w:themeTint="D9"/>
          <w:sz w:val="32"/>
          <w:szCs w:val="32"/>
        </w:rPr>
        <w:t>共有</w:t>
      </w:r>
      <w:r w:rsidRPr="00E17216">
        <w:rPr>
          <w:rFonts w:ascii="仿宋" w:eastAsia="仿宋" w:hAnsi="仿宋" w:hint="eastAsia"/>
          <w:color w:val="262626" w:themeColor="text1" w:themeTint="D9"/>
          <w:sz w:val="32"/>
          <w:szCs w:val="32"/>
        </w:rPr>
        <w:t>固定资产</w:t>
      </w:r>
      <w:r w:rsidR="00E17216" w:rsidRPr="00E17216">
        <w:rPr>
          <w:rFonts w:ascii="仿宋" w:eastAsia="仿宋" w:hAnsi="仿宋" w:hint="eastAsia"/>
          <w:color w:val="262626" w:themeColor="text1" w:themeTint="D9"/>
          <w:sz w:val="32"/>
          <w:szCs w:val="32"/>
        </w:rPr>
        <w:t>3453.4</w:t>
      </w:r>
      <w:r w:rsidRPr="00E17216">
        <w:rPr>
          <w:rFonts w:ascii="仿宋" w:eastAsia="仿宋" w:hAnsi="仿宋" w:hint="eastAsia"/>
          <w:color w:val="262626" w:themeColor="text1" w:themeTint="D9"/>
          <w:sz w:val="32"/>
          <w:szCs w:val="32"/>
        </w:rPr>
        <w:t>万元，较2020年增加</w:t>
      </w:r>
      <w:r w:rsidR="00E17216" w:rsidRPr="00E17216">
        <w:rPr>
          <w:rFonts w:ascii="仿宋" w:eastAsia="仿宋" w:hAnsi="仿宋" w:hint="eastAsia"/>
          <w:color w:val="262626" w:themeColor="text1" w:themeTint="D9"/>
          <w:sz w:val="32"/>
          <w:szCs w:val="32"/>
        </w:rPr>
        <w:t>14</w:t>
      </w:r>
      <w:r w:rsidR="005066AF">
        <w:rPr>
          <w:rFonts w:ascii="仿宋" w:eastAsia="仿宋" w:hAnsi="仿宋" w:hint="eastAsia"/>
          <w:color w:val="262626" w:themeColor="text1" w:themeTint="D9"/>
          <w:sz w:val="32"/>
          <w:szCs w:val="32"/>
        </w:rPr>
        <w:t>1</w:t>
      </w:r>
      <w:r w:rsidRPr="00E17216">
        <w:rPr>
          <w:rFonts w:ascii="仿宋" w:eastAsia="仿宋" w:hAnsi="仿宋" w:hint="eastAsia"/>
          <w:color w:val="262626" w:themeColor="text1" w:themeTint="D9"/>
          <w:sz w:val="32"/>
          <w:szCs w:val="32"/>
        </w:rPr>
        <w:t>万元,增幅</w:t>
      </w:r>
      <w:r w:rsidR="00E17216" w:rsidRPr="00E17216">
        <w:rPr>
          <w:rFonts w:ascii="仿宋" w:eastAsia="仿宋" w:hAnsi="仿宋" w:hint="eastAsia"/>
          <w:color w:val="262626" w:themeColor="text1" w:themeTint="D9"/>
          <w:sz w:val="32"/>
          <w:szCs w:val="32"/>
        </w:rPr>
        <w:t>4</w:t>
      </w:r>
      <w:r w:rsidRPr="00E17216">
        <w:rPr>
          <w:rFonts w:ascii="仿宋" w:eastAsia="仿宋" w:hAnsi="仿宋" w:hint="eastAsia"/>
          <w:color w:val="262626" w:themeColor="text1" w:themeTint="D9"/>
          <w:sz w:val="32"/>
          <w:szCs w:val="32"/>
        </w:rPr>
        <w:t>%,其中：</w:t>
      </w:r>
    </w:p>
    <w:p w:rsidR="00EA344D" w:rsidRPr="00E17216" w:rsidRDefault="00BE211C">
      <w:pPr>
        <w:spacing w:line="560" w:lineRule="exact"/>
        <w:ind w:firstLineChars="200" w:firstLine="640"/>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1、房屋类资产面积</w:t>
      </w:r>
      <w:r w:rsidR="00E17216" w:rsidRPr="00E17216">
        <w:rPr>
          <w:rFonts w:ascii="仿宋" w:eastAsia="仿宋" w:hAnsi="仿宋" w:hint="eastAsia"/>
          <w:color w:val="262626" w:themeColor="text1" w:themeTint="D9"/>
          <w:sz w:val="32"/>
          <w:szCs w:val="32"/>
        </w:rPr>
        <w:t>7555.06</w:t>
      </w:r>
      <w:r w:rsidRPr="00E17216">
        <w:rPr>
          <w:rFonts w:ascii="仿宋" w:eastAsia="仿宋" w:hAnsi="仿宋" w:hint="eastAsia"/>
          <w:color w:val="262626" w:themeColor="text1" w:themeTint="D9"/>
          <w:sz w:val="32"/>
          <w:szCs w:val="32"/>
        </w:rPr>
        <w:t>平方米，价值</w:t>
      </w:r>
      <w:r w:rsidR="00E17216" w:rsidRPr="00E17216">
        <w:rPr>
          <w:rFonts w:ascii="仿宋" w:eastAsia="仿宋" w:hAnsi="仿宋" w:hint="eastAsia"/>
          <w:color w:val="262626" w:themeColor="text1" w:themeTint="D9"/>
          <w:sz w:val="32"/>
          <w:szCs w:val="32"/>
        </w:rPr>
        <w:t>907.71</w:t>
      </w:r>
      <w:r w:rsidRPr="00E17216">
        <w:rPr>
          <w:rFonts w:ascii="仿宋" w:eastAsia="仿宋" w:hAnsi="仿宋" w:hint="eastAsia"/>
          <w:color w:val="262626" w:themeColor="text1" w:themeTint="D9"/>
          <w:sz w:val="32"/>
          <w:szCs w:val="32"/>
        </w:rPr>
        <w:t>万元</w:t>
      </w:r>
    </w:p>
    <w:p w:rsidR="00EA344D" w:rsidRPr="00E17216" w:rsidRDefault="00BE211C">
      <w:pPr>
        <w:spacing w:line="560" w:lineRule="exact"/>
        <w:ind w:firstLineChars="200" w:firstLine="640"/>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2、车辆价值</w:t>
      </w:r>
      <w:r w:rsidR="00E17216" w:rsidRPr="00E17216">
        <w:rPr>
          <w:rFonts w:ascii="仿宋" w:eastAsia="仿宋" w:hAnsi="仿宋" w:hint="eastAsia"/>
          <w:color w:val="262626" w:themeColor="text1" w:themeTint="D9"/>
          <w:sz w:val="32"/>
          <w:szCs w:val="32"/>
        </w:rPr>
        <w:t>984.</w:t>
      </w:r>
      <w:r w:rsidR="005513C0">
        <w:rPr>
          <w:rFonts w:ascii="仿宋" w:eastAsia="仿宋" w:hAnsi="仿宋" w:hint="eastAsia"/>
          <w:color w:val="262626" w:themeColor="text1" w:themeTint="D9"/>
          <w:sz w:val="32"/>
          <w:szCs w:val="32"/>
        </w:rPr>
        <w:t>1</w:t>
      </w:r>
      <w:r w:rsidRPr="00E17216">
        <w:rPr>
          <w:rFonts w:ascii="仿宋" w:eastAsia="仿宋" w:hAnsi="仿宋" w:hint="eastAsia"/>
          <w:color w:val="262626" w:themeColor="text1" w:themeTint="D9"/>
          <w:sz w:val="32"/>
          <w:szCs w:val="32"/>
        </w:rPr>
        <w:t>万元，账面现有各类执法执勤用</w:t>
      </w:r>
      <w:r w:rsidRPr="00E17216">
        <w:rPr>
          <w:rFonts w:ascii="仿宋" w:eastAsia="仿宋" w:hAnsi="仿宋"/>
          <w:color w:val="262626" w:themeColor="text1" w:themeTint="D9"/>
          <w:sz w:val="32"/>
          <w:szCs w:val="32"/>
        </w:rPr>
        <w:t xml:space="preserve">车 </w:t>
      </w:r>
      <w:r w:rsidR="00E17216" w:rsidRPr="00E17216">
        <w:rPr>
          <w:rFonts w:ascii="仿宋" w:eastAsia="仿宋" w:hAnsi="仿宋" w:hint="eastAsia"/>
          <w:color w:val="262626" w:themeColor="text1" w:themeTint="D9"/>
          <w:sz w:val="32"/>
          <w:szCs w:val="32"/>
        </w:rPr>
        <w:t>81</w:t>
      </w:r>
      <w:r w:rsidRPr="00E17216">
        <w:rPr>
          <w:rFonts w:ascii="仿宋" w:eastAsia="仿宋" w:hAnsi="仿宋"/>
          <w:color w:val="262626" w:themeColor="text1" w:themeTint="D9"/>
          <w:sz w:val="32"/>
          <w:szCs w:val="32"/>
        </w:rPr>
        <w:t>辆，其中</w:t>
      </w:r>
      <w:r w:rsidRPr="00E17216">
        <w:rPr>
          <w:rFonts w:ascii="仿宋" w:eastAsia="仿宋" w:hAnsi="仿宋" w:hint="eastAsia"/>
          <w:color w:val="262626" w:themeColor="text1" w:themeTint="D9"/>
          <w:sz w:val="32"/>
          <w:szCs w:val="32"/>
        </w:rPr>
        <w:t>：轿车</w:t>
      </w:r>
      <w:r w:rsidR="00E17216" w:rsidRPr="00E17216">
        <w:rPr>
          <w:rFonts w:ascii="仿宋" w:eastAsia="仿宋" w:hAnsi="仿宋" w:hint="eastAsia"/>
          <w:color w:val="262626" w:themeColor="text1" w:themeTint="D9"/>
          <w:sz w:val="32"/>
          <w:szCs w:val="32"/>
        </w:rPr>
        <w:t>50</w:t>
      </w:r>
      <w:r w:rsidRPr="00E17216">
        <w:rPr>
          <w:rFonts w:ascii="仿宋" w:eastAsia="仿宋" w:hAnsi="仿宋"/>
          <w:color w:val="262626" w:themeColor="text1" w:themeTint="D9"/>
          <w:sz w:val="32"/>
          <w:szCs w:val="32"/>
        </w:rPr>
        <w:t>辆、</w:t>
      </w:r>
      <w:r w:rsidRPr="00E17216">
        <w:rPr>
          <w:rFonts w:ascii="仿宋" w:eastAsia="仿宋" w:hAnsi="仿宋" w:hint="eastAsia"/>
          <w:color w:val="262626" w:themeColor="text1" w:themeTint="D9"/>
          <w:sz w:val="32"/>
          <w:szCs w:val="32"/>
        </w:rPr>
        <w:t>小型载客汽车</w:t>
      </w:r>
      <w:r w:rsidR="00E17216" w:rsidRPr="00E17216">
        <w:rPr>
          <w:rFonts w:ascii="仿宋" w:eastAsia="仿宋" w:hAnsi="仿宋" w:hint="eastAsia"/>
          <w:color w:val="262626" w:themeColor="text1" w:themeTint="D9"/>
          <w:sz w:val="32"/>
          <w:szCs w:val="32"/>
        </w:rPr>
        <w:t>31</w:t>
      </w:r>
      <w:r w:rsidRPr="00E17216">
        <w:rPr>
          <w:rFonts w:ascii="仿宋" w:eastAsia="仿宋" w:hAnsi="仿宋" w:hint="eastAsia"/>
          <w:color w:val="262626" w:themeColor="text1" w:themeTint="D9"/>
          <w:sz w:val="32"/>
          <w:szCs w:val="32"/>
        </w:rPr>
        <w:t>辆。</w:t>
      </w:r>
    </w:p>
    <w:p w:rsidR="00EA344D" w:rsidRPr="00E17216" w:rsidRDefault="00BE211C">
      <w:pPr>
        <w:spacing w:line="560" w:lineRule="exact"/>
        <w:ind w:firstLineChars="200" w:firstLine="640"/>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3、其他各类固定资产</w:t>
      </w:r>
      <w:r w:rsidR="00E17216" w:rsidRPr="00E17216">
        <w:rPr>
          <w:rFonts w:ascii="仿宋" w:eastAsia="仿宋" w:hAnsi="仿宋" w:hint="eastAsia"/>
          <w:color w:val="262626" w:themeColor="text1" w:themeTint="D9"/>
          <w:sz w:val="32"/>
          <w:szCs w:val="32"/>
        </w:rPr>
        <w:t>2453.06</w:t>
      </w:r>
      <w:r w:rsidRPr="00E17216">
        <w:rPr>
          <w:rFonts w:ascii="仿宋" w:eastAsia="仿宋" w:hAnsi="仿宋" w:hint="eastAsia"/>
          <w:color w:val="262626" w:themeColor="text1" w:themeTint="D9"/>
          <w:sz w:val="32"/>
          <w:szCs w:val="32"/>
        </w:rPr>
        <w:t>万元。</w:t>
      </w:r>
    </w:p>
    <w:p w:rsidR="00EA344D" w:rsidRPr="00E17216" w:rsidRDefault="00BE211C">
      <w:pPr>
        <w:spacing w:line="560" w:lineRule="exact"/>
        <w:ind w:firstLineChars="200" w:firstLine="640"/>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2020年至</w:t>
      </w:r>
      <w:r w:rsidRPr="00E17216">
        <w:rPr>
          <w:rFonts w:ascii="仿宋" w:eastAsia="仿宋" w:hAnsi="仿宋"/>
          <w:color w:val="262626" w:themeColor="text1" w:themeTint="D9"/>
          <w:sz w:val="32"/>
          <w:szCs w:val="32"/>
        </w:rPr>
        <w:t>20</w:t>
      </w:r>
      <w:r w:rsidRPr="00E17216">
        <w:rPr>
          <w:rFonts w:ascii="仿宋" w:eastAsia="仿宋" w:hAnsi="仿宋" w:hint="eastAsia"/>
          <w:color w:val="262626" w:themeColor="text1" w:themeTint="D9"/>
          <w:sz w:val="32"/>
          <w:szCs w:val="32"/>
        </w:rPr>
        <w:t>21</w:t>
      </w:r>
      <w:r w:rsidRPr="00E17216">
        <w:rPr>
          <w:rFonts w:ascii="仿宋" w:eastAsia="仿宋" w:hAnsi="仿宋"/>
          <w:color w:val="262626" w:themeColor="text1" w:themeTint="D9"/>
          <w:sz w:val="32"/>
          <w:szCs w:val="32"/>
        </w:rPr>
        <w:t>年预算</w:t>
      </w:r>
      <w:r w:rsidRPr="00E17216">
        <w:rPr>
          <w:rFonts w:ascii="仿宋" w:eastAsia="仿宋" w:hAnsi="仿宋" w:hint="eastAsia"/>
          <w:color w:val="262626" w:themeColor="text1" w:themeTint="D9"/>
          <w:sz w:val="32"/>
          <w:szCs w:val="32"/>
        </w:rPr>
        <w:t>未</w:t>
      </w:r>
      <w:r w:rsidRPr="00E17216">
        <w:rPr>
          <w:rFonts w:ascii="仿宋" w:eastAsia="仿宋" w:hAnsi="仿宋"/>
          <w:color w:val="262626" w:themeColor="text1" w:themeTint="D9"/>
          <w:sz w:val="32"/>
          <w:szCs w:val="32"/>
        </w:rPr>
        <w:t>安排更新</w:t>
      </w:r>
      <w:r w:rsidRPr="00E17216">
        <w:rPr>
          <w:rFonts w:ascii="仿宋" w:eastAsia="仿宋" w:hAnsi="仿宋" w:hint="eastAsia"/>
          <w:color w:val="262626" w:themeColor="text1" w:themeTint="D9"/>
          <w:sz w:val="32"/>
          <w:szCs w:val="32"/>
        </w:rPr>
        <w:t>公务用车</w:t>
      </w:r>
      <w:r w:rsidRPr="00E17216">
        <w:rPr>
          <w:rFonts w:ascii="仿宋" w:eastAsia="仿宋" w:hAnsi="仿宋"/>
          <w:color w:val="262626" w:themeColor="text1" w:themeTint="D9"/>
          <w:sz w:val="32"/>
          <w:szCs w:val="32"/>
        </w:rPr>
        <w:t>预算</w:t>
      </w:r>
      <w:r w:rsidRPr="00E17216">
        <w:rPr>
          <w:rFonts w:ascii="仿宋" w:eastAsia="仿宋" w:hAnsi="仿宋" w:hint="eastAsia"/>
          <w:color w:val="262626" w:themeColor="text1" w:themeTint="D9"/>
          <w:sz w:val="32"/>
          <w:szCs w:val="32"/>
        </w:rPr>
        <w:t>。</w:t>
      </w:r>
    </w:p>
    <w:p w:rsidR="00EA344D" w:rsidRPr="00E17216" w:rsidRDefault="00BE211C">
      <w:pPr>
        <w:spacing w:line="560" w:lineRule="exact"/>
        <w:ind w:firstLineChars="200" w:firstLine="640"/>
        <w:rPr>
          <w:rFonts w:ascii="仿宋" w:eastAsia="仿宋" w:hAnsi="仿宋"/>
          <w:color w:val="262626" w:themeColor="text1" w:themeTint="D9"/>
          <w:sz w:val="32"/>
          <w:szCs w:val="32"/>
        </w:rPr>
      </w:pPr>
      <w:r w:rsidRPr="00E17216">
        <w:rPr>
          <w:rFonts w:ascii="仿宋" w:eastAsia="仿宋" w:hAnsi="仿宋" w:hint="eastAsia"/>
          <w:color w:val="262626" w:themeColor="text1" w:themeTint="D9"/>
          <w:sz w:val="32"/>
          <w:szCs w:val="32"/>
        </w:rPr>
        <w:t>2020年预算资金</w:t>
      </w:r>
      <w:r w:rsidRPr="00E17216">
        <w:rPr>
          <w:rFonts w:ascii="仿宋" w:eastAsia="仿宋" w:hAnsi="仿宋"/>
          <w:color w:val="262626" w:themeColor="text1" w:themeTint="D9"/>
          <w:sz w:val="32"/>
          <w:szCs w:val="32"/>
        </w:rPr>
        <w:t>购置</w:t>
      </w:r>
      <w:r w:rsidRPr="00E17216">
        <w:rPr>
          <w:rFonts w:ascii="仿宋" w:eastAsia="仿宋" w:hAnsi="仿宋" w:hint="eastAsia"/>
          <w:color w:val="262626" w:themeColor="text1" w:themeTint="D9"/>
          <w:sz w:val="32"/>
          <w:szCs w:val="32"/>
        </w:rPr>
        <w:t>各类设备</w:t>
      </w:r>
      <w:r w:rsidR="00447483" w:rsidRPr="00E17216">
        <w:rPr>
          <w:rFonts w:ascii="仿宋" w:eastAsia="仿宋" w:hAnsi="仿宋" w:hint="eastAsia"/>
          <w:color w:val="262626" w:themeColor="text1" w:themeTint="D9"/>
          <w:sz w:val="32"/>
          <w:szCs w:val="32"/>
        </w:rPr>
        <w:t>29.55</w:t>
      </w:r>
      <w:r w:rsidRPr="00E17216">
        <w:rPr>
          <w:rFonts w:ascii="仿宋" w:eastAsia="仿宋" w:hAnsi="仿宋" w:hint="eastAsia"/>
          <w:color w:val="262626" w:themeColor="text1" w:themeTint="D9"/>
          <w:sz w:val="32"/>
          <w:szCs w:val="32"/>
        </w:rPr>
        <w:t>万元。</w:t>
      </w:r>
    </w:p>
    <w:p w:rsidR="00EA344D" w:rsidRDefault="00BE211C">
      <w:pPr>
        <w:spacing w:line="560" w:lineRule="exact"/>
        <w:ind w:firstLineChars="200" w:firstLine="643"/>
        <w:rPr>
          <w:rFonts w:ascii="仿宋" w:eastAsia="仿宋" w:hAnsi="仿宋"/>
          <w:b/>
          <w:sz w:val="32"/>
          <w:szCs w:val="32"/>
        </w:rPr>
      </w:pPr>
      <w:r>
        <w:rPr>
          <w:rFonts w:ascii="仿宋" w:eastAsia="仿宋" w:hAnsi="仿宋" w:hint="eastAsia"/>
          <w:b/>
          <w:sz w:val="32"/>
          <w:szCs w:val="32"/>
        </w:rPr>
        <w:t>十二、预算绩效情况说明</w:t>
      </w:r>
    </w:p>
    <w:p w:rsidR="00EA344D" w:rsidRDefault="00BE211C">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年按照预算体制改革的有关要求，</w:t>
      </w:r>
      <w:r>
        <w:rPr>
          <w:rFonts w:ascii="仿宋" w:eastAsia="仿宋" w:hAnsi="仿宋" w:hint="eastAsia"/>
          <w:sz w:val="32"/>
          <w:szCs w:val="32"/>
        </w:rPr>
        <w:t>汽开分局无涉及</w:t>
      </w:r>
      <w:r>
        <w:rPr>
          <w:rFonts w:ascii="仿宋" w:eastAsia="仿宋" w:hAnsi="仿宋" w:hint="eastAsia"/>
          <w:sz w:val="32"/>
          <w:szCs w:val="32"/>
        </w:rPr>
        <w:lastRenderedPageBreak/>
        <w:t>重点项目绩效目标管理。</w:t>
      </w:r>
    </w:p>
    <w:p w:rsidR="00EA344D" w:rsidRDefault="00BE211C">
      <w:pPr>
        <w:spacing w:line="560" w:lineRule="exact"/>
        <w:ind w:firstLineChars="200" w:firstLine="643"/>
        <w:rPr>
          <w:rFonts w:ascii="仿宋" w:eastAsia="仿宋" w:hAnsi="仿宋"/>
          <w:b/>
          <w:sz w:val="32"/>
        </w:rPr>
      </w:pPr>
      <w:r>
        <w:rPr>
          <w:rFonts w:ascii="仿宋" w:eastAsia="仿宋" w:hAnsi="仿宋" w:hint="eastAsia"/>
          <w:b/>
          <w:sz w:val="32"/>
        </w:rPr>
        <w:t>十三、无预算公开管理文件中涉密事项</w:t>
      </w:r>
    </w:p>
    <w:p w:rsidR="00EA344D" w:rsidRDefault="00BE211C">
      <w:pPr>
        <w:spacing w:line="560" w:lineRule="exact"/>
        <w:ind w:firstLineChars="200" w:firstLine="640"/>
        <w:rPr>
          <w:rFonts w:ascii="仿宋" w:eastAsia="仿宋" w:hAnsi="仿宋"/>
          <w:sz w:val="32"/>
        </w:rPr>
      </w:pPr>
      <w:r>
        <w:rPr>
          <w:rFonts w:ascii="仿宋" w:eastAsia="仿宋" w:hAnsi="仿宋" w:hint="eastAsia"/>
          <w:sz w:val="32"/>
        </w:rPr>
        <w:t>2021年汽开分局预算经费中，无涉密不可公开事项。</w:t>
      </w:r>
    </w:p>
    <w:p w:rsidR="00EA344D" w:rsidRDefault="00EA344D">
      <w:pPr>
        <w:spacing w:line="500" w:lineRule="exact"/>
        <w:rPr>
          <w:rFonts w:ascii="仿宋" w:eastAsia="仿宋" w:hAnsi="仿宋"/>
          <w:sz w:val="32"/>
        </w:rPr>
        <w:sectPr w:rsidR="00EA344D">
          <w:pgSz w:w="11906" w:h="16838"/>
          <w:pgMar w:top="1440" w:right="1701" w:bottom="1440" w:left="1701" w:header="851" w:footer="992" w:gutter="0"/>
          <w:cols w:space="720"/>
          <w:docGrid w:linePitch="312"/>
        </w:sectPr>
      </w:pPr>
    </w:p>
    <w:p w:rsidR="00EA344D" w:rsidRDefault="00BE211C">
      <w:pPr>
        <w:spacing w:line="560" w:lineRule="exact"/>
        <w:ind w:firstLineChars="200" w:firstLine="723"/>
        <w:jc w:val="center"/>
        <w:outlineLvl w:val="1"/>
        <w:rPr>
          <w:rFonts w:ascii="仿宋" w:eastAsia="仿宋" w:hAnsi="仿宋"/>
          <w:b/>
          <w:sz w:val="36"/>
          <w:szCs w:val="36"/>
        </w:rPr>
      </w:pPr>
      <w:r>
        <w:rPr>
          <w:rFonts w:ascii="仿宋" w:eastAsia="仿宋" w:hAnsi="仿宋" w:hint="eastAsia"/>
          <w:b/>
          <w:sz w:val="36"/>
          <w:szCs w:val="36"/>
        </w:rPr>
        <w:lastRenderedPageBreak/>
        <w:t>第四部分  名词解释</w:t>
      </w:r>
    </w:p>
    <w:p w:rsidR="00EA344D" w:rsidRDefault="00EA344D">
      <w:pPr>
        <w:spacing w:line="560" w:lineRule="exact"/>
        <w:ind w:firstLineChars="200" w:firstLine="640"/>
        <w:rPr>
          <w:rFonts w:ascii="仿宋" w:eastAsia="仿宋" w:hAnsi="仿宋"/>
          <w:sz w:val="32"/>
          <w:szCs w:val="32"/>
        </w:rPr>
      </w:pP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一、财政拨款收入：指市财政当年拨付的资金。</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二、基本支出：指为保障机构正常运转、完成日常工作任务而发生的人员支出和公用支出。 </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三、项目支出：指在基本支出之外为完成特定行政任务和事业发展目标所发生的支出。 </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四、公共安全支出（科目代码 204）：指列入公安预算科目的支出。其中：行政运行科目核算市公安局所属的行政单位、事业单位的基本支出；一般行政管理事 务、治安管理、刑事侦查、禁毒管理、网络运行与维护、居民身份证管理、拘押收教场所管理、警犬繁育及驯养等科目核算公安行政执法办案、公安行政管理及为公安业务提供支持和保障工作所发生的项目经费支出</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五、医疗卫生与计划生育支出（科目代码210）：主要是用于支付全局在职人员医疗保险、工伤保险、生育保险等单位缴费部分。</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住房保障</w:t>
      </w:r>
      <w:r>
        <w:rPr>
          <w:rFonts w:ascii="仿宋" w:eastAsia="仿宋" w:hAnsi="仿宋" w:hint="eastAsia"/>
          <w:sz w:val="32"/>
          <w:szCs w:val="32"/>
        </w:rPr>
        <w:t>（类）科目（科目代码221），指按照《住房 公积金管理条例》的规定，由单位及其在职职工缴存的长期住房储金。该项政策始于上世纪九十年代中期，在全国机关、企事业单位在职职工中普遍实施，缴存比例最高不超过12％</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七、三公经费：是指用财政拨款安排的因公出国（境）费、公务用车购置及运行费和公务接待费。其中，因公出国</w:t>
      </w:r>
      <w:r>
        <w:rPr>
          <w:rFonts w:ascii="仿宋" w:eastAsia="仿宋" w:hAnsi="仿宋" w:hint="eastAsia"/>
          <w:sz w:val="32"/>
          <w:szCs w:val="32"/>
        </w:rPr>
        <w:lastRenderedPageBreak/>
        <w:t xml:space="preserve">（境）费反映单位公务出国（境）的国际旅费、国外城市间 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 </w:t>
      </w:r>
    </w:p>
    <w:p w:rsidR="00EA344D" w:rsidRDefault="00BE211C">
      <w:pPr>
        <w:spacing w:line="560" w:lineRule="exact"/>
        <w:ind w:firstLineChars="200" w:firstLine="640"/>
        <w:rPr>
          <w:rFonts w:ascii="仿宋" w:eastAsia="仿宋" w:hAnsi="仿宋"/>
          <w:sz w:val="32"/>
          <w:szCs w:val="32"/>
        </w:rPr>
      </w:pPr>
      <w:r>
        <w:rPr>
          <w:rFonts w:ascii="仿宋" w:eastAsia="仿宋" w:hAnsi="仿宋" w:hint="eastAsia"/>
          <w:sz w:val="32"/>
          <w:szCs w:val="32"/>
        </w:rPr>
        <w:t>八、机关运行费：为保障行政单位（包括实行公务员管 理的事业单位）运行用于购买货物和服务的各项资金，包括办公及印刷费、邮电费、差旅费、会议费、福利费、日常维修费、专用材料及一般设备购置费、办公用房水电费、办公用房取暖费、 办公用房物业管理费、公务用车运行维护费以及其他费用。</w:t>
      </w:r>
    </w:p>
    <w:p w:rsidR="00EA344D" w:rsidRDefault="00EA344D">
      <w:pPr>
        <w:widowControl/>
        <w:spacing w:before="100" w:beforeAutospacing="1" w:after="100" w:afterAutospacing="1" w:line="360" w:lineRule="auto"/>
        <w:ind w:firstLineChars="200" w:firstLine="640"/>
        <w:jc w:val="left"/>
        <w:rPr>
          <w:rFonts w:ascii="宋体" w:cs="Times New Roman"/>
          <w:kern w:val="0"/>
          <w:sz w:val="32"/>
          <w:szCs w:val="32"/>
        </w:rPr>
      </w:pPr>
    </w:p>
    <w:sectPr w:rsidR="00EA344D" w:rsidSect="00EA344D">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83" w:rsidRDefault="002A5283" w:rsidP="00447483">
      <w:r>
        <w:separator/>
      </w:r>
    </w:p>
  </w:endnote>
  <w:endnote w:type="continuationSeparator" w:id="1">
    <w:p w:rsidR="002A5283" w:rsidRDefault="002A5283" w:rsidP="0044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83" w:rsidRDefault="002A5283" w:rsidP="00447483">
      <w:r>
        <w:separator/>
      </w:r>
    </w:p>
  </w:footnote>
  <w:footnote w:type="continuationSeparator" w:id="1">
    <w:p w:rsidR="002A5283" w:rsidRDefault="002A5283" w:rsidP="00447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98A"/>
    <w:rsid w:val="000150E7"/>
    <w:rsid w:val="00016F38"/>
    <w:rsid w:val="0001704A"/>
    <w:rsid w:val="00046C70"/>
    <w:rsid w:val="00054C2B"/>
    <w:rsid w:val="00057AB9"/>
    <w:rsid w:val="000601CB"/>
    <w:rsid w:val="000705A4"/>
    <w:rsid w:val="000754C1"/>
    <w:rsid w:val="00075C6E"/>
    <w:rsid w:val="00081948"/>
    <w:rsid w:val="000A1373"/>
    <w:rsid w:val="000A54B9"/>
    <w:rsid w:val="000C5627"/>
    <w:rsid w:val="000C63D3"/>
    <w:rsid w:val="000D0BFB"/>
    <w:rsid w:val="000D3DEC"/>
    <w:rsid w:val="000F087E"/>
    <w:rsid w:val="00100E17"/>
    <w:rsid w:val="00102AEA"/>
    <w:rsid w:val="00111C60"/>
    <w:rsid w:val="00112E35"/>
    <w:rsid w:val="00122755"/>
    <w:rsid w:val="001430DC"/>
    <w:rsid w:val="0015098E"/>
    <w:rsid w:val="0015223F"/>
    <w:rsid w:val="0015608E"/>
    <w:rsid w:val="00170448"/>
    <w:rsid w:val="001744C9"/>
    <w:rsid w:val="00191CFC"/>
    <w:rsid w:val="001A03DE"/>
    <w:rsid w:val="001A067E"/>
    <w:rsid w:val="001A3505"/>
    <w:rsid w:val="001A79B0"/>
    <w:rsid w:val="001B2FC5"/>
    <w:rsid w:val="001C3DB7"/>
    <w:rsid w:val="001C77F7"/>
    <w:rsid w:val="001D764C"/>
    <w:rsid w:val="001E159F"/>
    <w:rsid w:val="001E1757"/>
    <w:rsid w:val="001F4768"/>
    <w:rsid w:val="00204914"/>
    <w:rsid w:val="00220223"/>
    <w:rsid w:val="002236E4"/>
    <w:rsid w:val="00231380"/>
    <w:rsid w:val="00233A01"/>
    <w:rsid w:val="00235D60"/>
    <w:rsid w:val="002428B6"/>
    <w:rsid w:val="00271D6F"/>
    <w:rsid w:val="00274521"/>
    <w:rsid w:val="0027596F"/>
    <w:rsid w:val="002A3CF1"/>
    <w:rsid w:val="002A5283"/>
    <w:rsid w:val="002A7FBA"/>
    <w:rsid w:val="002D2F47"/>
    <w:rsid w:val="002F3698"/>
    <w:rsid w:val="00300EEC"/>
    <w:rsid w:val="0035248F"/>
    <w:rsid w:val="003552F8"/>
    <w:rsid w:val="00355630"/>
    <w:rsid w:val="00364571"/>
    <w:rsid w:val="00366550"/>
    <w:rsid w:val="00382EA5"/>
    <w:rsid w:val="003A5B65"/>
    <w:rsid w:val="003A7ECF"/>
    <w:rsid w:val="003B1188"/>
    <w:rsid w:val="003E51D4"/>
    <w:rsid w:val="003F15CB"/>
    <w:rsid w:val="00404C17"/>
    <w:rsid w:val="00404E00"/>
    <w:rsid w:val="00415BBF"/>
    <w:rsid w:val="00416F1D"/>
    <w:rsid w:val="00421840"/>
    <w:rsid w:val="00437D6A"/>
    <w:rsid w:val="004415A0"/>
    <w:rsid w:val="00447483"/>
    <w:rsid w:val="004635C7"/>
    <w:rsid w:val="00485D0D"/>
    <w:rsid w:val="00490184"/>
    <w:rsid w:val="00492096"/>
    <w:rsid w:val="004A0BA5"/>
    <w:rsid w:val="004B3CF3"/>
    <w:rsid w:val="004B4251"/>
    <w:rsid w:val="004C7A35"/>
    <w:rsid w:val="0050084A"/>
    <w:rsid w:val="005061CD"/>
    <w:rsid w:val="005066AF"/>
    <w:rsid w:val="00520680"/>
    <w:rsid w:val="005211A3"/>
    <w:rsid w:val="005238B0"/>
    <w:rsid w:val="005513C0"/>
    <w:rsid w:val="005661CD"/>
    <w:rsid w:val="0057123B"/>
    <w:rsid w:val="00571D7C"/>
    <w:rsid w:val="00573571"/>
    <w:rsid w:val="005759CD"/>
    <w:rsid w:val="0057667E"/>
    <w:rsid w:val="00582622"/>
    <w:rsid w:val="005B159E"/>
    <w:rsid w:val="005B1BAB"/>
    <w:rsid w:val="005B263C"/>
    <w:rsid w:val="005C178A"/>
    <w:rsid w:val="005C1D81"/>
    <w:rsid w:val="005E1D99"/>
    <w:rsid w:val="005E53D3"/>
    <w:rsid w:val="00614FF8"/>
    <w:rsid w:val="00626C72"/>
    <w:rsid w:val="00651F00"/>
    <w:rsid w:val="0066668B"/>
    <w:rsid w:val="006877C4"/>
    <w:rsid w:val="006978F3"/>
    <w:rsid w:val="006A3062"/>
    <w:rsid w:val="006B7561"/>
    <w:rsid w:val="006C5F58"/>
    <w:rsid w:val="006D3283"/>
    <w:rsid w:val="006E2BEF"/>
    <w:rsid w:val="00714C9A"/>
    <w:rsid w:val="00716310"/>
    <w:rsid w:val="007202E1"/>
    <w:rsid w:val="00720D92"/>
    <w:rsid w:val="00732B62"/>
    <w:rsid w:val="00734E43"/>
    <w:rsid w:val="00762A2A"/>
    <w:rsid w:val="00762C61"/>
    <w:rsid w:val="0077343A"/>
    <w:rsid w:val="00780082"/>
    <w:rsid w:val="00786FA4"/>
    <w:rsid w:val="00793AF4"/>
    <w:rsid w:val="00794419"/>
    <w:rsid w:val="007A0608"/>
    <w:rsid w:val="007B2F77"/>
    <w:rsid w:val="007B6536"/>
    <w:rsid w:val="007B658D"/>
    <w:rsid w:val="007F547D"/>
    <w:rsid w:val="007F5758"/>
    <w:rsid w:val="00811B14"/>
    <w:rsid w:val="00815294"/>
    <w:rsid w:val="00835C6D"/>
    <w:rsid w:val="00852118"/>
    <w:rsid w:val="008548A6"/>
    <w:rsid w:val="00860E64"/>
    <w:rsid w:val="008718E6"/>
    <w:rsid w:val="00875658"/>
    <w:rsid w:val="008960D1"/>
    <w:rsid w:val="008B282D"/>
    <w:rsid w:val="008B749B"/>
    <w:rsid w:val="008C4414"/>
    <w:rsid w:val="008F0326"/>
    <w:rsid w:val="008F376B"/>
    <w:rsid w:val="008F5C43"/>
    <w:rsid w:val="00932835"/>
    <w:rsid w:val="00941744"/>
    <w:rsid w:val="00945878"/>
    <w:rsid w:val="00951533"/>
    <w:rsid w:val="00954A95"/>
    <w:rsid w:val="00970787"/>
    <w:rsid w:val="00977DF0"/>
    <w:rsid w:val="0099682F"/>
    <w:rsid w:val="00997711"/>
    <w:rsid w:val="009B08A6"/>
    <w:rsid w:val="009D62FE"/>
    <w:rsid w:val="009E2B5D"/>
    <w:rsid w:val="009E3772"/>
    <w:rsid w:val="009E77A2"/>
    <w:rsid w:val="009F53FD"/>
    <w:rsid w:val="00A02190"/>
    <w:rsid w:val="00A138A7"/>
    <w:rsid w:val="00A23336"/>
    <w:rsid w:val="00A24005"/>
    <w:rsid w:val="00A2531E"/>
    <w:rsid w:val="00A367AF"/>
    <w:rsid w:val="00A42A81"/>
    <w:rsid w:val="00A4438F"/>
    <w:rsid w:val="00A619BA"/>
    <w:rsid w:val="00A7722D"/>
    <w:rsid w:val="00AA71A4"/>
    <w:rsid w:val="00AB0186"/>
    <w:rsid w:val="00AB058C"/>
    <w:rsid w:val="00AB23A3"/>
    <w:rsid w:val="00AB6B61"/>
    <w:rsid w:val="00AC31BE"/>
    <w:rsid w:val="00AC598A"/>
    <w:rsid w:val="00AC6007"/>
    <w:rsid w:val="00AC6EE5"/>
    <w:rsid w:val="00AD2E46"/>
    <w:rsid w:val="00AE1000"/>
    <w:rsid w:val="00B02A7F"/>
    <w:rsid w:val="00B05A7A"/>
    <w:rsid w:val="00B12BCB"/>
    <w:rsid w:val="00B13D61"/>
    <w:rsid w:val="00B37860"/>
    <w:rsid w:val="00B474A7"/>
    <w:rsid w:val="00B623E3"/>
    <w:rsid w:val="00B65BD6"/>
    <w:rsid w:val="00B71F68"/>
    <w:rsid w:val="00B74824"/>
    <w:rsid w:val="00B77E17"/>
    <w:rsid w:val="00B80A2E"/>
    <w:rsid w:val="00B97B17"/>
    <w:rsid w:val="00B97B3D"/>
    <w:rsid w:val="00BA45D8"/>
    <w:rsid w:val="00BA4B77"/>
    <w:rsid w:val="00BA66C6"/>
    <w:rsid w:val="00BE211C"/>
    <w:rsid w:val="00C03C3E"/>
    <w:rsid w:val="00C04D90"/>
    <w:rsid w:val="00C05383"/>
    <w:rsid w:val="00C130CE"/>
    <w:rsid w:val="00C30AE4"/>
    <w:rsid w:val="00C55342"/>
    <w:rsid w:val="00C8103B"/>
    <w:rsid w:val="00C86E41"/>
    <w:rsid w:val="00C93BF8"/>
    <w:rsid w:val="00CA2FDB"/>
    <w:rsid w:val="00CA3FA1"/>
    <w:rsid w:val="00CB1DF5"/>
    <w:rsid w:val="00CB4472"/>
    <w:rsid w:val="00CC2286"/>
    <w:rsid w:val="00CC4492"/>
    <w:rsid w:val="00CC5581"/>
    <w:rsid w:val="00CC5F4E"/>
    <w:rsid w:val="00CD4E8D"/>
    <w:rsid w:val="00D074A3"/>
    <w:rsid w:val="00D1463B"/>
    <w:rsid w:val="00D2269A"/>
    <w:rsid w:val="00D4224E"/>
    <w:rsid w:val="00D46B9B"/>
    <w:rsid w:val="00D5067E"/>
    <w:rsid w:val="00D544B4"/>
    <w:rsid w:val="00D56901"/>
    <w:rsid w:val="00D57061"/>
    <w:rsid w:val="00D73828"/>
    <w:rsid w:val="00D815B8"/>
    <w:rsid w:val="00DB1DD7"/>
    <w:rsid w:val="00DC4B07"/>
    <w:rsid w:val="00DE1087"/>
    <w:rsid w:val="00DF2DDB"/>
    <w:rsid w:val="00E13166"/>
    <w:rsid w:val="00E13FDA"/>
    <w:rsid w:val="00E17216"/>
    <w:rsid w:val="00E4491F"/>
    <w:rsid w:val="00E56D6B"/>
    <w:rsid w:val="00E57D1E"/>
    <w:rsid w:val="00E60609"/>
    <w:rsid w:val="00E63DCC"/>
    <w:rsid w:val="00E735BE"/>
    <w:rsid w:val="00E73F04"/>
    <w:rsid w:val="00E7501C"/>
    <w:rsid w:val="00E8646D"/>
    <w:rsid w:val="00E924A5"/>
    <w:rsid w:val="00EA344D"/>
    <w:rsid w:val="00EA51DF"/>
    <w:rsid w:val="00EA6260"/>
    <w:rsid w:val="00EA7408"/>
    <w:rsid w:val="00EB0DF0"/>
    <w:rsid w:val="00EB1B31"/>
    <w:rsid w:val="00EB7172"/>
    <w:rsid w:val="00EC0A99"/>
    <w:rsid w:val="00EC16AC"/>
    <w:rsid w:val="00ED2B29"/>
    <w:rsid w:val="00ED497E"/>
    <w:rsid w:val="00ED7E85"/>
    <w:rsid w:val="00EE63E0"/>
    <w:rsid w:val="00EF0F63"/>
    <w:rsid w:val="00F046FE"/>
    <w:rsid w:val="00F118CE"/>
    <w:rsid w:val="00F13985"/>
    <w:rsid w:val="00F33182"/>
    <w:rsid w:val="00F331A5"/>
    <w:rsid w:val="00F35957"/>
    <w:rsid w:val="00F369CA"/>
    <w:rsid w:val="00F3779A"/>
    <w:rsid w:val="00F46C87"/>
    <w:rsid w:val="00F61E4A"/>
    <w:rsid w:val="00F709FF"/>
    <w:rsid w:val="00F7109C"/>
    <w:rsid w:val="00F71B9B"/>
    <w:rsid w:val="00F944A6"/>
    <w:rsid w:val="00F94E66"/>
    <w:rsid w:val="00FA2D05"/>
    <w:rsid w:val="00FA33B4"/>
    <w:rsid w:val="00FC5A87"/>
    <w:rsid w:val="00FD284F"/>
    <w:rsid w:val="00FE2915"/>
    <w:rsid w:val="00FF18D3"/>
    <w:rsid w:val="0E0F3D1C"/>
    <w:rsid w:val="11D36667"/>
    <w:rsid w:val="28FD1768"/>
    <w:rsid w:val="34B933C8"/>
    <w:rsid w:val="36A50EB2"/>
    <w:rsid w:val="525E5861"/>
    <w:rsid w:val="63253ACF"/>
    <w:rsid w:val="649F2915"/>
    <w:rsid w:val="69515312"/>
    <w:rsid w:val="749E17C7"/>
    <w:rsid w:val="78A35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4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344D"/>
    <w:rPr>
      <w:sz w:val="18"/>
      <w:szCs w:val="18"/>
    </w:rPr>
  </w:style>
  <w:style w:type="paragraph" w:styleId="a4">
    <w:name w:val="footer"/>
    <w:basedOn w:val="a"/>
    <w:link w:val="Char0"/>
    <w:uiPriority w:val="99"/>
    <w:semiHidden/>
    <w:qFormat/>
    <w:rsid w:val="00EA344D"/>
    <w:pPr>
      <w:tabs>
        <w:tab w:val="center" w:pos="4153"/>
        <w:tab w:val="right" w:pos="8306"/>
      </w:tabs>
      <w:snapToGrid w:val="0"/>
      <w:jc w:val="left"/>
    </w:pPr>
    <w:rPr>
      <w:sz w:val="18"/>
      <w:szCs w:val="18"/>
    </w:rPr>
  </w:style>
  <w:style w:type="paragraph" w:styleId="a5">
    <w:name w:val="header"/>
    <w:basedOn w:val="a"/>
    <w:link w:val="Char1"/>
    <w:uiPriority w:val="99"/>
    <w:semiHidden/>
    <w:qFormat/>
    <w:rsid w:val="00EA34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EA344D"/>
    <w:rPr>
      <w:rFonts w:ascii="Times New Roman" w:hAnsi="Times New Roman" w:cs="Times New Roman"/>
      <w:sz w:val="24"/>
      <w:szCs w:val="24"/>
    </w:rPr>
  </w:style>
  <w:style w:type="character" w:customStyle="1" w:styleId="font51">
    <w:name w:val="font51"/>
    <w:basedOn w:val="a0"/>
    <w:rsid w:val="00EA344D"/>
    <w:rPr>
      <w:rFonts w:ascii="宋体" w:eastAsia="宋体" w:hAnsi="宋体" w:cs="宋体" w:hint="eastAsia"/>
      <w:color w:val="000000"/>
      <w:sz w:val="22"/>
      <w:szCs w:val="22"/>
      <w:u w:val="none"/>
    </w:rPr>
  </w:style>
  <w:style w:type="character" w:customStyle="1" w:styleId="Char0">
    <w:name w:val="页脚 Char"/>
    <w:basedOn w:val="a0"/>
    <w:link w:val="a4"/>
    <w:uiPriority w:val="99"/>
    <w:semiHidden/>
    <w:qFormat/>
    <w:locked/>
    <w:rsid w:val="00EA344D"/>
    <w:rPr>
      <w:sz w:val="18"/>
      <w:szCs w:val="18"/>
    </w:rPr>
  </w:style>
  <w:style w:type="character" w:customStyle="1" w:styleId="Char1">
    <w:name w:val="页眉 Char"/>
    <w:basedOn w:val="a0"/>
    <w:link w:val="a5"/>
    <w:uiPriority w:val="99"/>
    <w:semiHidden/>
    <w:qFormat/>
    <w:locked/>
    <w:rsid w:val="00EA344D"/>
    <w:rPr>
      <w:sz w:val="18"/>
      <w:szCs w:val="18"/>
    </w:rPr>
  </w:style>
  <w:style w:type="paragraph" w:styleId="a7">
    <w:name w:val="List Paragraph"/>
    <w:basedOn w:val="a"/>
    <w:uiPriority w:val="99"/>
    <w:qFormat/>
    <w:rsid w:val="00EA344D"/>
    <w:pPr>
      <w:ind w:firstLineChars="200" w:firstLine="420"/>
    </w:pPr>
  </w:style>
  <w:style w:type="character" w:customStyle="1" w:styleId="Char">
    <w:name w:val="批注框文本 Char"/>
    <w:basedOn w:val="a0"/>
    <w:link w:val="a3"/>
    <w:uiPriority w:val="99"/>
    <w:semiHidden/>
    <w:qFormat/>
    <w:rsid w:val="00EA344D"/>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5785252.xls" TargetMode="External"/><Relationship Id="rId13" Type="http://schemas.openxmlformats.org/officeDocument/2006/relationships/image" Target="media/image3.png"/><Relationship Id="rId18" Type="http://schemas.openxmlformats.org/officeDocument/2006/relationships/hyperlink" Target="http://www.ccgxj.gov.cn/xxgkml/cwgk/201604/W020160405536939218217.xls"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cgxj.gov.cn/xxgkml/cwgk/201604/W020160405536937815403.xl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gxj.gov.cn/xxgkml/cwgk/201604/W020160405536938434342.xls" TargetMode="External"/><Relationship Id="rId20" Type="http://schemas.openxmlformats.org/officeDocument/2006/relationships/hyperlink" Target="http://www.ccgxj.gov.cn/xxgkml/cwgk/201604/W020160405536939530065.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www.ccgxj.gov.cn/xxgkml/cwgk/201604/W020160405536937505814.xl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cgxj.gov.cn/xxgkml/cwgk/201604/W020160405536939064777.xlsx" TargetMode="External"/><Relationship Id="rId22" Type="http://schemas.openxmlformats.org/officeDocument/2006/relationships/hyperlink" Target="http://www.ccgxj.gov.cn/xxgkml/cwgk/201604/W020160405536939687469.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FB415-FA5B-4287-95FB-0E4528A4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884</Words>
  <Characters>5042</Characters>
  <Application>Microsoft Office Word</Application>
  <DocSecurity>0</DocSecurity>
  <Lines>42</Lines>
  <Paragraphs>11</Paragraphs>
  <ScaleCrop>false</ScaleCrop>
  <Company>Microsoft</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Lenovo</cp:lastModifiedBy>
  <cp:revision>41</cp:revision>
  <cp:lastPrinted>2018-02-05T08:56:00Z</cp:lastPrinted>
  <dcterms:created xsi:type="dcterms:W3CDTF">2021-02-14T07:50:00Z</dcterms:created>
  <dcterms:modified xsi:type="dcterms:W3CDTF">2021-07-15T02:52:00Z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