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）生态环境领域基层政务公开标准目录</w:t>
      </w:r>
      <w:bookmarkEnd w:id="0"/>
    </w:p>
    <w:tbl>
      <w:tblPr>
        <w:tblStyle w:val="3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32"/>
        <w:gridCol w:w="805"/>
        <w:gridCol w:w="1870"/>
        <w:gridCol w:w="1909"/>
        <w:gridCol w:w="1622"/>
        <w:gridCol w:w="1528"/>
        <w:gridCol w:w="1665"/>
        <w:gridCol w:w="1719"/>
        <w:gridCol w:w="353"/>
        <w:gridCol w:w="20"/>
        <w:gridCol w:w="373"/>
        <w:gridCol w:w="14"/>
        <w:gridCol w:w="339"/>
        <w:gridCol w:w="20"/>
        <w:gridCol w:w="364"/>
        <w:gridCol w:w="11"/>
        <w:gridCol w:w="370"/>
        <w:gridCol w:w="6"/>
        <w:gridCol w:w="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5" w:type="pct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657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671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537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585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链接地址</w:t>
            </w:r>
          </w:p>
        </w:tc>
        <w:tc>
          <w:tcPr>
            <w:tcW w:w="267" w:type="pct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254" w:type="pct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268" w:type="pct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657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143" w:type="pct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119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135" w:type="pct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134" w:type="pct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34" w:type="pct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</w:t>
            </w:r>
          </w:p>
        </w:tc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建设项目环境影响评价文件审批</w:t>
            </w:r>
          </w:p>
        </w:tc>
        <w:tc>
          <w:tcPr>
            <w:tcW w:w="657" w:type="pct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报告书（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；决定环节：环评批复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</w:t>
            </w:r>
          </w:p>
        </w:tc>
        <w:tc>
          <w:tcPr>
            <w:tcW w:w="1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行政处罚行政强制和行政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命令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行政处罚流程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处罚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履行义务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催告书、强制执行申请书等</w:t>
            </w:r>
          </w:p>
        </w:tc>
        <w:tc>
          <w:tcPr>
            <w:tcW w:w="671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核安全法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》、《环境影响评价法》、《政府信息公开条例》、《环境行政处罚办法》</w:t>
            </w:r>
          </w:p>
        </w:tc>
        <w:tc>
          <w:tcPr>
            <w:tcW w:w="570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行政处罚决定书（全文公开）</w:t>
            </w:r>
          </w:p>
        </w:tc>
        <w:tc>
          <w:tcPr>
            <w:tcW w:w="671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行政强制决定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查封、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扣押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决定书（全文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命令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责令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全文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运行环节：受理、确认、送达、事后监管；责任事项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《政府信息公开条例》、《关于全面推进政务公开工作的意见》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运行环节：制定方案、实施检查、事后监管；责任事项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《政府信息公开条例》、《关于全面推进政务公开工作的意见》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其他行政职责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重大建设项目环境管理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环境要求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情况；重大建设项目生态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环境监督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管理情况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企业事业单位突发环境事件应急预案备案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企业事业单位突发环境事件应急预案备案情况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环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境局汽开分局</w:t>
            </w:r>
          </w:p>
        </w:tc>
        <w:tc>
          <w:tcPr>
            <w:tcW w:w="585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http://www.caida.gov.cn/xxfb/qdml/xzsp/201908/t20190806_1950856.html</w:t>
            </w:r>
          </w:p>
        </w:tc>
        <w:tc>
          <w:tcPr>
            <w:tcW w:w="13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公共服务事项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生态环境保护政策与业务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生态环境保护政策与业务咨询答复函</w:t>
            </w:r>
          </w:p>
        </w:tc>
        <w:tc>
          <w:tcPr>
            <w:tcW w:w="671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《环境保护法》、《政府信息公开条例》</w:t>
            </w:r>
          </w:p>
        </w:tc>
        <w:tc>
          <w:tcPr>
            <w:tcW w:w="570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http://www.caida.gov.cn/xxfb/qdml/xzsp/201908/t20190806_1950856.html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生态环境主题活动组织情况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671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http://www.caida.gov.cn/xxfb/qdml/xzsp/201908/t20190806_1950856.html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生态环境污染举报咨询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举报、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咨询方式（电话、地址等）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《环境保护法》、《政府信息公开条例》、《环境信访办法》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http://www.caida.gov.cn/xxfb/qdml/xzsp/201908/t20190806_1950856.html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公共服务事项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污染源监督监测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重点排污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监督性监测信息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http://www.caida.gov.cn/xxfb/qdml/xzsp/201908/t20190806_1950856.html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" w:type="pct"/>
            <w:shd w:val="clear" w:color="auto" w:fill="FFFFFF" w:themeFill="background1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" w:type="pct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生态环境举报信访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公开重点生态环境举报、信访案件及处理情况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《环境保护法》、《政府信息公开条例》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长春市生态环境局汽开分局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http://www.caida.gov.cn/xxfb/qdml/xzsp/201908/t20190806_1950856.html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zkwNjRmYzgwNGU2OTU3MmZlNDc3NjM2NzExMTEifQ=="/>
  </w:docVars>
  <w:rsids>
    <w:rsidRoot w:val="4A815E1A"/>
    <w:rsid w:val="00203A8A"/>
    <w:rsid w:val="00676542"/>
    <w:rsid w:val="006C2F1D"/>
    <w:rsid w:val="32991B15"/>
    <w:rsid w:val="348A0551"/>
    <w:rsid w:val="436C0669"/>
    <w:rsid w:val="4A815E1A"/>
    <w:rsid w:val="750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1672</Words>
  <Characters>2396</Characters>
  <Lines>8</Lines>
  <Paragraphs>5</Paragraphs>
  <TotalTime>8</TotalTime>
  <ScaleCrop>false</ScaleCrop>
  <LinksUpToDate>false</LinksUpToDate>
  <CharactersWithSpaces>2396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2020-09-02T07:04:00Z</dcterms:created>
  <dc:creator>快乐一生</dc:creator>
  <cp:lastModifiedBy>雷珺瑶</cp:lastModifiedBy>
  <dcterms:modified xsi:type="dcterms:W3CDTF">2022-10-14T03:21:36Z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7997C5BD4C314FE690B35644C57BEF2C</vt:lpwstr>
  </property>
</Properties>
</file>