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ascii="方正小标宋_GBK" w:hAnsi="方正小标宋_GBK" w:eastAsia="方正小标宋_GBK"/>
          <w:b w:val="0"/>
          <w:bCs w:val="0"/>
          <w:sz w:val="30"/>
          <w:highlight w:val="none"/>
        </w:rPr>
      </w:pPr>
      <w:bookmarkStart w:id="0" w:name="_Toc24724723"/>
      <w:r>
        <w:rPr>
          <w:rFonts w:hint="eastAsia" w:ascii="方正小标宋_GBK" w:hAnsi="方正小标宋_GBK" w:eastAsia="方正小标宋_GBK"/>
          <w:b w:val="0"/>
          <w:bCs w:val="0"/>
          <w:sz w:val="30"/>
          <w:highlight w:val="none"/>
        </w:rPr>
        <w:t>（</w:t>
      </w:r>
      <w:r>
        <w:rPr>
          <w:rFonts w:hint="eastAsia" w:ascii="方正小标宋_GBK" w:hAnsi="方正小标宋_GBK" w:eastAsia="方正小标宋_GBK"/>
          <w:b w:val="0"/>
          <w:bCs w:val="0"/>
          <w:sz w:val="30"/>
          <w:highlight w:val="none"/>
          <w:lang w:eastAsia="zh-CN"/>
        </w:rPr>
        <w:t>十八</w:t>
      </w:r>
      <w:bookmarkStart w:id="1" w:name="_GoBack"/>
      <w:bookmarkEnd w:id="1"/>
      <w:r>
        <w:rPr>
          <w:rFonts w:hint="eastAsia" w:ascii="方正小标宋_GBK" w:hAnsi="方正小标宋_GBK" w:eastAsia="方正小标宋_GBK"/>
          <w:b w:val="0"/>
          <w:bCs w:val="0"/>
          <w:sz w:val="30"/>
          <w:highlight w:val="none"/>
        </w:rPr>
        <w:t>）公共文化服务领域基层政务公开标准目录</w:t>
      </w:r>
      <w:bookmarkEnd w:id="0"/>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448"/>
        <w:gridCol w:w="610"/>
        <w:gridCol w:w="1356"/>
        <w:gridCol w:w="1493"/>
        <w:gridCol w:w="1654"/>
        <w:gridCol w:w="1515"/>
        <w:gridCol w:w="1500"/>
        <w:gridCol w:w="1525"/>
        <w:gridCol w:w="1700"/>
        <w:gridCol w:w="395"/>
        <w:gridCol w:w="395"/>
        <w:gridCol w:w="1"/>
        <w:gridCol w:w="394"/>
        <w:gridCol w:w="395"/>
        <w:gridCol w:w="2"/>
        <w:gridCol w:w="393"/>
        <w:gridCol w:w="3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cantSplit/>
          <w:jc w:val="center"/>
        </w:trPr>
        <w:tc>
          <w:tcPr>
            <w:tcW w:w="448" w:type="dxa"/>
            <w:vMerge w:val="restart"/>
            <w:shd w:val="clear" w:color="auto" w:fill="FFFFFF" w:themeFill="background1"/>
            <w:noWrap w:val="0"/>
            <w:vAlign w:val="center"/>
          </w:tcPr>
          <w:p>
            <w:pPr>
              <w:widowControl/>
              <w:jc w:val="center"/>
              <w:rPr>
                <w:rFonts w:ascii="Times New Roman" w:hAnsi="Times New Roman"/>
                <w:color w:val="000000"/>
                <w:kern w:val="0"/>
                <w:sz w:val="22"/>
              </w:rPr>
            </w:pPr>
            <w:r>
              <w:rPr>
                <w:rFonts w:ascii="Times New Roman" w:hAnsi="宋体"/>
                <w:color w:val="000000"/>
                <w:kern w:val="0"/>
                <w:sz w:val="22"/>
              </w:rPr>
              <w:t>序号</w:t>
            </w:r>
          </w:p>
        </w:tc>
        <w:tc>
          <w:tcPr>
            <w:tcW w:w="1966" w:type="dxa"/>
            <w:gridSpan w:val="2"/>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公开事项</w:t>
            </w:r>
          </w:p>
        </w:tc>
        <w:tc>
          <w:tcPr>
            <w:tcW w:w="1493" w:type="dxa"/>
            <w:vMerge w:val="restart"/>
            <w:shd w:val="clear" w:color="auto" w:fill="FFFFFF" w:themeFill="background1"/>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公开内容</w:t>
            </w:r>
          </w:p>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（要素）</w:t>
            </w:r>
          </w:p>
        </w:tc>
        <w:tc>
          <w:tcPr>
            <w:tcW w:w="1654" w:type="dxa"/>
            <w:vMerge w:val="restart"/>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公开依据</w:t>
            </w:r>
          </w:p>
        </w:tc>
        <w:tc>
          <w:tcPr>
            <w:tcW w:w="1515" w:type="dxa"/>
            <w:vMerge w:val="restart"/>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公开时限</w:t>
            </w:r>
          </w:p>
        </w:tc>
        <w:tc>
          <w:tcPr>
            <w:tcW w:w="1500" w:type="dxa"/>
            <w:vMerge w:val="restart"/>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公开主体</w:t>
            </w:r>
          </w:p>
        </w:tc>
        <w:tc>
          <w:tcPr>
            <w:tcW w:w="1525" w:type="dxa"/>
            <w:vMerge w:val="restart"/>
            <w:shd w:val="clear" w:color="auto" w:fill="FFFFFF" w:themeFill="background1"/>
            <w:noWrap w:val="0"/>
            <w:vAlign w:val="center"/>
          </w:tcPr>
          <w:p>
            <w:pPr>
              <w:widowControl/>
              <w:jc w:val="center"/>
              <w:rPr>
                <w:rFonts w:hint="eastAsia" w:ascii="黑体" w:hAnsi="宋体" w:eastAsia="黑体" w:cs="宋体"/>
                <w:kern w:val="0"/>
                <w:sz w:val="22"/>
              </w:rPr>
            </w:pPr>
            <w:r>
              <w:rPr>
                <w:rFonts w:hint="eastAsia" w:ascii="黑体" w:hAnsi="宋体" w:eastAsia="黑体" w:cs="宋体"/>
                <w:kern w:val="0"/>
                <w:sz w:val="22"/>
              </w:rPr>
              <w:t>公开渠道</w:t>
            </w:r>
          </w:p>
          <w:p>
            <w:pPr>
              <w:widowControl/>
              <w:jc w:val="center"/>
              <w:rPr>
                <w:rFonts w:ascii="黑体" w:hAnsi="宋体" w:eastAsia="黑体" w:cs="宋体"/>
                <w:kern w:val="0"/>
                <w:sz w:val="22"/>
              </w:rPr>
            </w:pPr>
            <w:r>
              <w:rPr>
                <w:rFonts w:hint="eastAsia" w:ascii="黑体" w:hAnsi="宋体" w:eastAsia="黑体" w:cs="宋体"/>
                <w:kern w:val="0"/>
                <w:sz w:val="22"/>
              </w:rPr>
              <w:t>和载体</w:t>
            </w:r>
          </w:p>
        </w:tc>
        <w:tc>
          <w:tcPr>
            <w:tcW w:w="1700" w:type="dxa"/>
            <w:vMerge w:val="restart"/>
            <w:shd w:val="clear" w:color="auto" w:fill="FFFFFF" w:themeFill="background1"/>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链接地址</w:t>
            </w:r>
          </w:p>
        </w:tc>
        <w:tc>
          <w:tcPr>
            <w:tcW w:w="791" w:type="dxa"/>
            <w:gridSpan w:val="3"/>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公开对象</w:t>
            </w:r>
          </w:p>
        </w:tc>
        <w:tc>
          <w:tcPr>
            <w:tcW w:w="791" w:type="dxa"/>
            <w:gridSpan w:val="3"/>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公开方式</w:t>
            </w:r>
          </w:p>
        </w:tc>
        <w:tc>
          <w:tcPr>
            <w:tcW w:w="791" w:type="dxa"/>
            <w:gridSpan w:val="2"/>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cantSplit/>
          <w:jc w:val="center"/>
        </w:trPr>
        <w:tc>
          <w:tcPr>
            <w:tcW w:w="448" w:type="dxa"/>
            <w:vMerge w:val="continue"/>
            <w:shd w:val="clear" w:color="auto" w:fill="FFFFFF" w:themeFill="background1"/>
            <w:noWrap w:val="0"/>
            <w:vAlign w:val="center"/>
          </w:tcPr>
          <w:p>
            <w:pPr>
              <w:widowControl/>
              <w:jc w:val="left"/>
              <w:rPr>
                <w:rFonts w:ascii="Times New Roman" w:hAnsi="Times New Roman"/>
                <w:color w:val="000000"/>
                <w:kern w:val="0"/>
                <w:sz w:val="22"/>
              </w:rPr>
            </w:pPr>
          </w:p>
        </w:tc>
        <w:tc>
          <w:tcPr>
            <w:tcW w:w="610" w:type="dxa"/>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一级事项</w:t>
            </w:r>
          </w:p>
        </w:tc>
        <w:tc>
          <w:tcPr>
            <w:tcW w:w="1356" w:type="dxa"/>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二级事项</w:t>
            </w:r>
          </w:p>
        </w:tc>
        <w:tc>
          <w:tcPr>
            <w:tcW w:w="1493" w:type="dxa"/>
            <w:vMerge w:val="continue"/>
            <w:shd w:val="clear" w:color="auto" w:fill="FFFFFF" w:themeFill="background1"/>
            <w:noWrap w:val="0"/>
            <w:vAlign w:val="center"/>
          </w:tcPr>
          <w:p>
            <w:pPr>
              <w:widowControl/>
              <w:jc w:val="left"/>
              <w:rPr>
                <w:rFonts w:ascii="黑体" w:hAnsi="宋体" w:eastAsia="黑体" w:cs="宋体"/>
                <w:color w:val="000000"/>
                <w:kern w:val="0"/>
                <w:sz w:val="22"/>
              </w:rPr>
            </w:pPr>
          </w:p>
        </w:tc>
        <w:tc>
          <w:tcPr>
            <w:tcW w:w="1654" w:type="dxa"/>
            <w:vMerge w:val="continue"/>
            <w:shd w:val="clear" w:color="auto" w:fill="FFFFFF" w:themeFill="background1"/>
            <w:noWrap w:val="0"/>
            <w:vAlign w:val="center"/>
          </w:tcPr>
          <w:p>
            <w:pPr>
              <w:widowControl/>
              <w:jc w:val="left"/>
              <w:rPr>
                <w:rFonts w:ascii="黑体" w:hAnsi="宋体" w:eastAsia="黑体" w:cs="宋体"/>
                <w:color w:val="000000"/>
                <w:kern w:val="0"/>
                <w:sz w:val="22"/>
              </w:rPr>
            </w:pPr>
          </w:p>
        </w:tc>
        <w:tc>
          <w:tcPr>
            <w:tcW w:w="1515" w:type="dxa"/>
            <w:vMerge w:val="continue"/>
            <w:shd w:val="clear" w:color="auto" w:fill="FFFFFF" w:themeFill="background1"/>
            <w:noWrap w:val="0"/>
            <w:vAlign w:val="center"/>
          </w:tcPr>
          <w:p>
            <w:pPr>
              <w:widowControl/>
              <w:jc w:val="left"/>
              <w:rPr>
                <w:rFonts w:ascii="黑体" w:hAnsi="宋体" w:eastAsia="黑体" w:cs="宋体"/>
                <w:color w:val="000000"/>
                <w:kern w:val="0"/>
                <w:sz w:val="22"/>
              </w:rPr>
            </w:pPr>
          </w:p>
        </w:tc>
        <w:tc>
          <w:tcPr>
            <w:tcW w:w="1500" w:type="dxa"/>
            <w:vMerge w:val="continue"/>
            <w:shd w:val="clear" w:color="auto" w:fill="FFFFFF" w:themeFill="background1"/>
            <w:noWrap w:val="0"/>
            <w:vAlign w:val="center"/>
          </w:tcPr>
          <w:p>
            <w:pPr>
              <w:widowControl/>
              <w:jc w:val="left"/>
              <w:rPr>
                <w:rFonts w:ascii="黑体" w:hAnsi="宋体" w:eastAsia="黑体" w:cs="宋体"/>
                <w:color w:val="000000"/>
                <w:kern w:val="0"/>
                <w:sz w:val="22"/>
              </w:rPr>
            </w:pPr>
          </w:p>
        </w:tc>
        <w:tc>
          <w:tcPr>
            <w:tcW w:w="1525" w:type="dxa"/>
            <w:vMerge w:val="continue"/>
            <w:shd w:val="clear" w:color="auto" w:fill="FFFFFF" w:themeFill="background1"/>
            <w:noWrap w:val="0"/>
            <w:vAlign w:val="center"/>
          </w:tcPr>
          <w:p>
            <w:pPr>
              <w:widowControl/>
              <w:jc w:val="left"/>
              <w:rPr>
                <w:rFonts w:ascii="黑体" w:hAnsi="宋体" w:eastAsia="黑体" w:cs="宋体"/>
                <w:kern w:val="0"/>
                <w:sz w:val="22"/>
              </w:rPr>
            </w:pPr>
          </w:p>
        </w:tc>
        <w:tc>
          <w:tcPr>
            <w:tcW w:w="1700" w:type="dxa"/>
            <w:vMerge w:val="continue"/>
            <w:shd w:val="clear" w:color="auto" w:fill="FFFFFF" w:themeFill="background1"/>
            <w:noWrap w:val="0"/>
            <w:vAlign w:val="top"/>
          </w:tcPr>
          <w:p>
            <w:pPr>
              <w:widowControl/>
              <w:jc w:val="center"/>
              <w:rPr>
                <w:rFonts w:hint="eastAsia" w:ascii="黑体" w:hAnsi="宋体" w:eastAsia="黑体" w:cs="宋体"/>
                <w:color w:val="000000"/>
                <w:kern w:val="0"/>
                <w:sz w:val="22"/>
              </w:rPr>
            </w:pPr>
          </w:p>
        </w:tc>
        <w:tc>
          <w:tcPr>
            <w:tcW w:w="395" w:type="dxa"/>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全社会</w:t>
            </w:r>
          </w:p>
        </w:tc>
        <w:tc>
          <w:tcPr>
            <w:tcW w:w="395" w:type="dxa"/>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特定群众</w:t>
            </w:r>
          </w:p>
        </w:tc>
        <w:tc>
          <w:tcPr>
            <w:tcW w:w="395" w:type="dxa"/>
            <w:gridSpan w:val="2"/>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主动</w:t>
            </w:r>
          </w:p>
        </w:tc>
        <w:tc>
          <w:tcPr>
            <w:tcW w:w="395" w:type="dxa"/>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依申请公开</w:t>
            </w:r>
          </w:p>
        </w:tc>
        <w:tc>
          <w:tcPr>
            <w:tcW w:w="395" w:type="dxa"/>
            <w:gridSpan w:val="2"/>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县级</w:t>
            </w:r>
          </w:p>
        </w:tc>
        <w:tc>
          <w:tcPr>
            <w:tcW w:w="398" w:type="dxa"/>
            <w:shd w:val="clear" w:color="auto" w:fill="FFFFFF" w:themeFill="background1"/>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48"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rPr>
              <w:t>1</w:t>
            </w:r>
          </w:p>
        </w:tc>
        <w:tc>
          <w:tcPr>
            <w:tcW w:w="610"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行政</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许可</w:t>
            </w:r>
          </w:p>
        </w:tc>
        <w:tc>
          <w:tcPr>
            <w:tcW w:w="1356"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互联网上网服务营业场所经营许可</w:t>
            </w:r>
          </w:p>
        </w:tc>
        <w:tc>
          <w:tcPr>
            <w:tcW w:w="1493" w:type="dxa"/>
            <w:shd w:val="clear" w:color="auto" w:fill="FFFFFF" w:themeFill="background1"/>
            <w:noWrap w:val="0"/>
            <w:vAlign w:val="center"/>
          </w:tcPr>
          <w:p>
            <w:pPr>
              <w:spacing w:line="240" w:lineRule="exact"/>
              <w:rPr>
                <w:rFonts w:hint="eastAsia" w:ascii="仿宋_GB2312" w:hAnsi="Times New Roman" w:eastAsia="仿宋_GB2312"/>
                <w:sz w:val="18"/>
                <w:szCs w:val="18"/>
              </w:rPr>
            </w:pPr>
          </w:p>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1.办事指南：主要包括事项名称、设定依据、申请条件、办理材料、办理地点、办理时间、联系电话、办理流程、办理期限、申请行政许可需要提交的全部材料目录及办理情况;</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2.行政许可决定。</w:t>
            </w:r>
          </w:p>
          <w:p>
            <w:pPr>
              <w:spacing w:line="240" w:lineRule="exact"/>
              <w:rPr>
                <w:rFonts w:hint="eastAsia" w:ascii="仿宋_GB2312" w:hAnsi="Times New Roman" w:eastAsia="仿宋_GB2312"/>
                <w:sz w:val="18"/>
                <w:szCs w:val="18"/>
              </w:rPr>
            </w:pPr>
          </w:p>
          <w:p>
            <w:pPr>
              <w:spacing w:line="240" w:lineRule="exact"/>
              <w:rPr>
                <w:rFonts w:hint="eastAsia" w:ascii="仿宋_GB2312" w:hAnsi="Times New Roman" w:eastAsia="仿宋_GB2312"/>
                <w:sz w:val="18"/>
                <w:szCs w:val="18"/>
              </w:rPr>
            </w:pPr>
          </w:p>
        </w:tc>
        <w:tc>
          <w:tcPr>
            <w:tcW w:w="1654"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《行政许可法》、《政府信息公开条例》、《互联网上网服务营业场所管理条例》</w:t>
            </w:r>
          </w:p>
        </w:tc>
        <w:tc>
          <w:tcPr>
            <w:tcW w:w="151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信息形成或变更之日起20个工作日内公开</w:t>
            </w:r>
          </w:p>
        </w:tc>
        <w:tc>
          <w:tcPr>
            <w:tcW w:w="1500"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汽开区</w:t>
            </w:r>
          </w:p>
          <w:p>
            <w:pPr>
              <w:spacing w:line="240" w:lineRule="exact"/>
              <w:jc w:val="center"/>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社会事业局</w:t>
            </w:r>
          </w:p>
        </w:tc>
        <w:tc>
          <w:tcPr>
            <w:tcW w:w="1525" w:type="dxa"/>
            <w:shd w:val="clear" w:color="auto" w:fill="FFFFFF" w:themeFill="background1"/>
            <w:noWrap w:val="0"/>
            <w:vAlign w:val="center"/>
          </w:tcPr>
          <w:p>
            <w:pPr>
              <w:spacing w:line="240" w:lineRule="exact"/>
              <w:jc w:val="left"/>
              <w:rPr>
                <w:rFonts w:hint="eastAsia" w:ascii="仿宋_GB2312" w:hAnsi="Times New Roman" w:eastAsia="仿宋_GB2312"/>
                <w:sz w:val="18"/>
                <w:szCs w:val="18"/>
              </w:rPr>
            </w:pPr>
            <w:r>
              <w:rPr>
                <w:rFonts w:hint="eastAsia" w:ascii="仿宋_GB2312" w:hAnsi="Times New Roman" w:eastAsia="仿宋_GB2312"/>
                <w:sz w:val="18"/>
                <w:szCs w:val="18"/>
              </w:rPr>
              <w:t xml:space="preserve">■政府网站            ■政务服务中心   </w:t>
            </w:r>
          </w:p>
        </w:tc>
        <w:tc>
          <w:tcPr>
            <w:tcW w:w="1700" w:type="dxa"/>
            <w:shd w:val="clear" w:color="auto" w:fill="FFFFFF" w:themeFill="background1"/>
            <w:noWrap w:val="0"/>
            <w:vAlign w:val="top"/>
          </w:tcPr>
          <w:p>
            <w:pPr>
              <w:spacing w:line="240" w:lineRule="exact"/>
              <w:rPr>
                <w:rFonts w:hint="eastAsia" w:ascii="仿宋_GB2312" w:hAnsi="Times New Roman" w:eastAsia="仿宋_GB2312"/>
                <w:sz w:val="18"/>
                <w:szCs w:val="18"/>
              </w:rPr>
            </w:pP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8"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48"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rPr>
              <w:t>2</w:t>
            </w:r>
          </w:p>
        </w:tc>
        <w:tc>
          <w:tcPr>
            <w:tcW w:w="610" w:type="dxa"/>
            <w:vMerge w:val="restart"/>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行政</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许可</w:t>
            </w:r>
          </w:p>
          <w:p>
            <w:pPr>
              <w:spacing w:line="240" w:lineRule="exact"/>
              <w:rPr>
                <w:rFonts w:hint="eastAsia" w:ascii="仿宋_GB2312" w:hAnsi="Times New Roman" w:eastAsia="仿宋_GB2312"/>
                <w:sz w:val="18"/>
                <w:szCs w:val="18"/>
              </w:rPr>
            </w:pPr>
          </w:p>
        </w:tc>
        <w:tc>
          <w:tcPr>
            <w:tcW w:w="1356"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文艺表演团体设立审批</w:t>
            </w:r>
          </w:p>
        </w:tc>
        <w:tc>
          <w:tcPr>
            <w:tcW w:w="1493"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1.办事指南：内容同上;</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2.行政许可决定。</w:t>
            </w:r>
          </w:p>
        </w:tc>
        <w:tc>
          <w:tcPr>
            <w:tcW w:w="1654"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xml:space="preserve">《行政许可法》、《政府信息公开条例》、《营业性演出管理条例》、《文化部关于落实“先照后证”改进文化市场行政审批工作的通知》 </w:t>
            </w:r>
          </w:p>
        </w:tc>
        <w:tc>
          <w:tcPr>
            <w:tcW w:w="151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信息形成或变更之日起20个工作日内公开</w:t>
            </w:r>
          </w:p>
        </w:tc>
        <w:tc>
          <w:tcPr>
            <w:tcW w:w="1500"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汽开区</w:t>
            </w:r>
          </w:p>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lang w:eastAsia="zh-CN"/>
              </w:rPr>
              <w:t>社会事业局</w:t>
            </w:r>
          </w:p>
        </w:tc>
        <w:tc>
          <w:tcPr>
            <w:tcW w:w="1525" w:type="dxa"/>
            <w:shd w:val="clear" w:color="auto" w:fill="FFFFFF" w:themeFill="background1"/>
            <w:noWrap w:val="0"/>
            <w:vAlign w:val="center"/>
          </w:tcPr>
          <w:p>
            <w:pPr>
              <w:spacing w:line="240" w:lineRule="exact"/>
              <w:jc w:val="left"/>
              <w:rPr>
                <w:rFonts w:hint="eastAsia" w:ascii="仿宋" w:hAnsi="仿宋" w:eastAsia="仿宋" w:cs="仿宋"/>
                <w:sz w:val="18"/>
                <w:szCs w:val="18"/>
              </w:rPr>
            </w:pPr>
            <w:r>
              <w:rPr>
                <w:rFonts w:hint="eastAsia" w:ascii="仿宋" w:hAnsi="仿宋" w:eastAsia="仿宋" w:cs="仿宋"/>
                <w:sz w:val="18"/>
                <w:szCs w:val="18"/>
              </w:rPr>
              <w:t xml:space="preserve">■政府网站               </w:t>
            </w:r>
          </w:p>
        </w:tc>
        <w:tc>
          <w:tcPr>
            <w:tcW w:w="1700" w:type="dxa"/>
            <w:shd w:val="clear" w:color="auto" w:fill="FFFFFF" w:themeFill="background1"/>
            <w:noWrap w:val="0"/>
            <w:vAlign w:val="top"/>
          </w:tcPr>
          <w:p>
            <w:pPr>
              <w:spacing w:line="240" w:lineRule="exact"/>
              <w:rPr>
                <w:rFonts w:hint="eastAsia" w:ascii="仿宋_GB2312" w:hAnsi="Times New Roman" w:eastAsia="仿宋_GB2312"/>
                <w:sz w:val="18"/>
                <w:szCs w:val="18"/>
              </w:rPr>
            </w:pP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8"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48"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rPr>
              <w:t>3</w:t>
            </w:r>
          </w:p>
        </w:tc>
        <w:tc>
          <w:tcPr>
            <w:tcW w:w="610" w:type="dxa"/>
            <w:vMerge w:val="continue"/>
            <w:shd w:val="clear" w:color="auto" w:fill="FFFFFF" w:themeFill="background1"/>
            <w:noWrap w:val="0"/>
            <w:vAlign w:val="center"/>
          </w:tcPr>
          <w:p>
            <w:pPr>
              <w:spacing w:line="240" w:lineRule="exact"/>
              <w:rPr>
                <w:rFonts w:hint="eastAsia" w:ascii="仿宋_GB2312" w:hAnsi="Times New Roman" w:eastAsia="仿宋_GB2312"/>
                <w:sz w:val="18"/>
                <w:szCs w:val="18"/>
              </w:rPr>
            </w:pPr>
          </w:p>
        </w:tc>
        <w:tc>
          <w:tcPr>
            <w:tcW w:w="1356" w:type="dxa"/>
            <w:shd w:val="clear" w:color="auto" w:fill="FFFFFF" w:themeFill="background1"/>
            <w:noWrap w:val="0"/>
            <w:vAlign w:val="center"/>
          </w:tcPr>
          <w:p>
            <w:pPr>
              <w:spacing w:line="240" w:lineRule="exact"/>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歌舞娱乐场所设立审批</w:t>
            </w:r>
          </w:p>
        </w:tc>
        <w:tc>
          <w:tcPr>
            <w:tcW w:w="1493"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1.办事指南：内容同上;</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2.行政许可决定。</w:t>
            </w:r>
          </w:p>
        </w:tc>
        <w:tc>
          <w:tcPr>
            <w:tcW w:w="1654"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rPr>
              <w:t xml:space="preserve">《行政许可法》、《政府信息公开条例》 </w:t>
            </w:r>
          </w:p>
        </w:tc>
        <w:tc>
          <w:tcPr>
            <w:tcW w:w="151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信息形成或变更之日起20个工作日内公开</w:t>
            </w:r>
          </w:p>
        </w:tc>
        <w:tc>
          <w:tcPr>
            <w:tcW w:w="1500"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汽开区</w:t>
            </w:r>
          </w:p>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lang w:eastAsia="zh-CN"/>
              </w:rPr>
              <w:t>社会事业局</w:t>
            </w:r>
          </w:p>
        </w:tc>
        <w:tc>
          <w:tcPr>
            <w:tcW w:w="1525" w:type="dxa"/>
            <w:shd w:val="clear" w:color="auto" w:fill="FFFFFF" w:themeFill="background1"/>
            <w:noWrap w:val="0"/>
            <w:vAlign w:val="center"/>
          </w:tcPr>
          <w:p>
            <w:pPr>
              <w:spacing w:line="240" w:lineRule="exact"/>
              <w:jc w:val="left"/>
              <w:rPr>
                <w:rFonts w:hint="eastAsia" w:ascii="仿宋" w:hAnsi="仿宋" w:eastAsia="仿宋" w:cs="仿宋"/>
                <w:sz w:val="18"/>
                <w:szCs w:val="18"/>
              </w:rPr>
            </w:pPr>
            <w:r>
              <w:rPr>
                <w:rFonts w:hint="eastAsia" w:ascii="仿宋" w:hAnsi="仿宋" w:eastAsia="仿宋" w:cs="仿宋"/>
                <w:sz w:val="18"/>
                <w:szCs w:val="18"/>
              </w:rPr>
              <w:t xml:space="preserve">■政府网站            ■政务服务中心   </w:t>
            </w:r>
          </w:p>
        </w:tc>
        <w:tc>
          <w:tcPr>
            <w:tcW w:w="1700" w:type="dxa"/>
            <w:shd w:val="clear" w:color="auto" w:fill="FFFFFF" w:themeFill="background1"/>
            <w:noWrap w:val="0"/>
            <w:vAlign w:val="top"/>
          </w:tcPr>
          <w:p>
            <w:pPr>
              <w:spacing w:line="240" w:lineRule="exact"/>
              <w:rPr>
                <w:rFonts w:hint="eastAsia" w:ascii="仿宋_GB2312" w:hAnsi="Times New Roman" w:eastAsia="仿宋_GB2312"/>
                <w:sz w:val="18"/>
                <w:szCs w:val="18"/>
              </w:rPr>
            </w:pP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8"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48"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rPr>
              <w:t>4</w:t>
            </w:r>
          </w:p>
        </w:tc>
        <w:tc>
          <w:tcPr>
            <w:tcW w:w="610" w:type="dxa"/>
            <w:vMerge w:val="continue"/>
            <w:shd w:val="clear" w:color="auto" w:fill="FFFFFF" w:themeFill="background1"/>
            <w:noWrap w:val="0"/>
            <w:vAlign w:val="center"/>
          </w:tcPr>
          <w:p>
            <w:pPr>
              <w:spacing w:line="240" w:lineRule="exact"/>
              <w:rPr>
                <w:rFonts w:hint="eastAsia" w:ascii="仿宋_GB2312" w:hAnsi="Times New Roman" w:eastAsia="仿宋_GB2312"/>
                <w:sz w:val="18"/>
                <w:szCs w:val="18"/>
              </w:rPr>
            </w:pPr>
          </w:p>
        </w:tc>
        <w:tc>
          <w:tcPr>
            <w:tcW w:w="1356" w:type="dxa"/>
            <w:shd w:val="clear" w:color="auto" w:fill="FFFFFF" w:themeFill="background1"/>
            <w:noWrap w:val="0"/>
            <w:vAlign w:val="center"/>
          </w:tcPr>
          <w:p>
            <w:pPr>
              <w:spacing w:line="240" w:lineRule="exact"/>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游艺娱乐场所设立审批</w:t>
            </w:r>
          </w:p>
        </w:tc>
        <w:tc>
          <w:tcPr>
            <w:tcW w:w="1493"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1.办事指南：内容同上;</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2.行政许可决定。</w:t>
            </w:r>
          </w:p>
        </w:tc>
        <w:tc>
          <w:tcPr>
            <w:tcW w:w="1654"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《行政许可法》；《政府信息公开条例》</w:t>
            </w:r>
          </w:p>
        </w:tc>
        <w:tc>
          <w:tcPr>
            <w:tcW w:w="151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信息形成或变更之日起20个工作日内公开</w:t>
            </w:r>
          </w:p>
        </w:tc>
        <w:tc>
          <w:tcPr>
            <w:tcW w:w="1500"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汽开区</w:t>
            </w:r>
          </w:p>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lang w:eastAsia="zh-CN"/>
              </w:rPr>
              <w:t>社会事业局</w:t>
            </w:r>
          </w:p>
        </w:tc>
        <w:tc>
          <w:tcPr>
            <w:tcW w:w="1525" w:type="dxa"/>
            <w:shd w:val="clear" w:color="auto" w:fill="FFFFFF" w:themeFill="background1"/>
            <w:noWrap w:val="0"/>
            <w:vAlign w:val="center"/>
          </w:tcPr>
          <w:p>
            <w:pPr>
              <w:spacing w:line="240" w:lineRule="exact"/>
              <w:jc w:val="left"/>
              <w:rPr>
                <w:rFonts w:hint="eastAsia" w:ascii="仿宋" w:hAnsi="仿宋" w:eastAsia="仿宋" w:cs="仿宋"/>
                <w:sz w:val="18"/>
                <w:szCs w:val="18"/>
              </w:rPr>
            </w:pPr>
            <w:r>
              <w:rPr>
                <w:rFonts w:hint="eastAsia" w:ascii="仿宋" w:hAnsi="仿宋" w:eastAsia="仿宋" w:cs="仿宋"/>
                <w:sz w:val="18"/>
                <w:szCs w:val="18"/>
              </w:rPr>
              <w:t xml:space="preserve">■政府网站            ■政务服务中心   </w:t>
            </w:r>
          </w:p>
        </w:tc>
        <w:tc>
          <w:tcPr>
            <w:tcW w:w="1700" w:type="dxa"/>
            <w:shd w:val="clear" w:color="auto" w:fill="FFFFFF" w:themeFill="background1"/>
            <w:noWrap w:val="0"/>
            <w:vAlign w:val="top"/>
          </w:tcPr>
          <w:p>
            <w:pPr>
              <w:spacing w:line="240" w:lineRule="exact"/>
              <w:rPr>
                <w:rFonts w:hint="eastAsia" w:ascii="仿宋_GB2312" w:hAnsi="Times New Roman" w:eastAsia="仿宋_GB2312"/>
                <w:sz w:val="18"/>
                <w:szCs w:val="18"/>
              </w:rPr>
            </w:pP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8"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48"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rPr>
              <w:t>5</w:t>
            </w:r>
          </w:p>
        </w:tc>
        <w:tc>
          <w:tcPr>
            <w:tcW w:w="610" w:type="dxa"/>
            <w:vMerge w:val="continue"/>
            <w:shd w:val="clear" w:color="auto" w:fill="FFFFFF" w:themeFill="background1"/>
            <w:noWrap w:val="0"/>
            <w:vAlign w:val="center"/>
          </w:tcPr>
          <w:p>
            <w:pPr>
              <w:spacing w:line="240" w:lineRule="exact"/>
              <w:rPr>
                <w:rFonts w:hint="eastAsia" w:ascii="仿宋_GB2312" w:hAnsi="Times New Roman" w:eastAsia="仿宋_GB2312"/>
                <w:sz w:val="18"/>
                <w:szCs w:val="18"/>
              </w:rPr>
            </w:pPr>
          </w:p>
        </w:tc>
        <w:tc>
          <w:tcPr>
            <w:tcW w:w="1356"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县级文物保护单位保护范围内其他建设工程或者爆破、钻探、挖掘等作业审批</w:t>
            </w:r>
          </w:p>
        </w:tc>
        <w:tc>
          <w:tcPr>
            <w:tcW w:w="1493"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1办事指南：内容同上;</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2.行政许可决定。</w:t>
            </w:r>
          </w:p>
        </w:tc>
        <w:tc>
          <w:tcPr>
            <w:tcW w:w="1654" w:type="dxa"/>
            <w:shd w:val="clear" w:color="auto" w:fill="FFFFFF" w:themeFill="background1"/>
            <w:noWrap w:val="0"/>
            <w:vAlign w:val="center"/>
          </w:tcPr>
          <w:p>
            <w:pPr>
              <w:spacing w:line="240" w:lineRule="exact"/>
              <w:rPr>
                <w:rFonts w:hint="eastAsia" w:ascii="仿宋_GB2312" w:hAnsi="Times New Roman" w:eastAsia="仿宋_GB2312"/>
                <w:sz w:val="18"/>
                <w:szCs w:val="18"/>
                <w:lang w:eastAsia="zh-CN"/>
              </w:rPr>
            </w:pPr>
            <w:r>
              <w:rPr>
                <w:rFonts w:hint="eastAsia" w:ascii="仿宋_GB2312" w:hAnsi="Times New Roman" w:eastAsia="仿宋_GB2312"/>
                <w:sz w:val="18"/>
                <w:szCs w:val="18"/>
              </w:rPr>
              <w:t>《行政许可法》；《政府信息公开条例》</w:t>
            </w:r>
            <w:r>
              <w:rPr>
                <w:rFonts w:hint="eastAsia" w:ascii="仿宋_GB2312" w:hAnsi="Times New Roman" w:eastAsia="仿宋_GB2312"/>
                <w:sz w:val="18"/>
                <w:szCs w:val="18"/>
                <w:lang w:eastAsia="zh-CN"/>
              </w:rPr>
              <w:t>、《中华人民共和国文物保护法》、《中华人民共和国文物宝华发实施条例》</w:t>
            </w:r>
          </w:p>
          <w:p>
            <w:pPr>
              <w:spacing w:line="240" w:lineRule="exact"/>
              <w:rPr>
                <w:rFonts w:hint="eastAsia" w:ascii="仿宋_GB2312" w:hAnsi="Times New Roman" w:eastAsia="仿宋_GB2312"/>
                <w:sz w:val="18"/>
                <w:szCs w:val="18"/>
              </w:rPr>
            </w:pPr>
          </w:p>
        </w:tc>
        <w:tc>
          <w:tcPr>
            <w:tcW w:w="151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信息形成或变更之日起20个工作日内公开</w:t>
            </w:r>
          </w:p>
        </w:tc>
        <w:tc>
          <w:tcPr>
            <w:tcW w:w="1500"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汽开区</w:t>
            </w:r>
          </w:p>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lang w:eastAsia="zh-CN"/>
              </w:rPr>
              <w:t>社会事业局</w:t>
            </w:r>
          </w:p>
        </w:tc>
        <w:tc>
          <w:tcPr>
            <w:tcW w:w="1525" w:type="dxa"/>
            <w:shd w:val="clear" w:color="auto" w:fill="FFFFFF" w:themeFill="background1"/>
            <w:noWrap w:val="0"/>
            <w:vAlign w:val="center"/>
          </w:tcPr>
          <w:p>
            <w:pPr>
              <w:spacing w:line="240" w:lineRule="exact"/>
              <w:jc w:val="left"/>
              <w:rPr>
                <w:rFonts w:hint="eastAsia" w:ascii="仿宋" w:hAnsi="仿宋" w:eastAsia="仿宋" w:cs="仿宋"/>
                <w:sz w:val="18"/>
                <w:szCs w:val="18"/>
              </w:rPr>
            </w:pPr>
            <w:r>
              <w:rPr>
                <w:rFonts w:hint="eastAsia" w:ascii="仿宋" w:hAnsi="仿宋" w:eastAsia="仿宋" w:cs="仿宋"/>
                <w:sz w:val="18"/>
                <w:szCs w:val="18"/>
              </w:rPr>
              <w:t xml:space="preserve">■政府网站               </w:t>
            </w:r>
          </w:p>
        </w:tc>
        <w:tc>
          <w:tcPr>
            <w:tcW w:w="1700" w:type="dxa"/>
            <w:shd w:val="clear" w:color="auto" w:fill="FFFFFF" w:themeFill="background1"/>
            <w:noWrap w:val="0"/>
            <w:vAlign w:val="top"/>
          </w:tcPr>
          <w:p>
            <w:pPr>
              <w:spacing w:line="240" w:lineRule="exact"/>
              <w:rPr>
                <w:rFonts w:hint="eastAsia" w:ascii="仿宋_GB2312" w:hAnsi="Times New Roman" w:eastAsia="仿宋_GB2312"/>
                <w:sz w:val="18"/>
                <w:szCs w:val="18"/>
              </w:rPr>
            </w:pP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8"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48"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rPr>
              <w:t>6</w:t>
            </w:r>
          </w:p>
        </w:tc>
        <w:tc>
          <w:tcPr>
            <w:tcW w:w="610" w:type="dxa"/>
            <w:vMerge w:val="continue"/>
            <w:shd w:val="clear" w:color="auto" w:fill="FFFFFF" w:themeFill="background1"/>
            <w:noWrap w:val="0"/>
            <w:vAlign w:val="center"/>
          </w:tcPr>
          <w:p>
            <w:pPr>
              <w:spacing w:line="240" w:lineRule="exact"/>
              <w:rPr>
                <w:rFonts w:hint="eastAsia" w:ascii="仿宋_GB2312" w:hAnsi="Times New Roman" w:eastAsia="仿宋_GB2312"/>
                <w:sz w:val="18"/>
                <w:szCs w:val="18"/>
              </w:rPr>
            </w:pPr>
          </w:p>
        </w:tc>
        <w:tc>
          <w:tcPr>
            <w:tcW w:w="1356" w:type="dxa"/>
            <w:shd w:val="clear" w:color="auto" w:fill="FFFFFF" w:themeFill="background1"/>
            <w:noWrap w:val="0"/>
            <w:vAlign w:val="center"/>
          </w:tcPr>
          <w:p>
            <w:pPr>
              <w:spacing w:line="240" w:lineRule="exact"/>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内地的文艺表演团体、个人参加的营业性演出举办审批</w:t>
            </w:r>
          </w:p>
        </w:tc>
        <w:tc>
          <w:tcPr>
            <w:tcW w:w="1493"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1.办事指南：内容同上;</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2.行政许可决定。</w:t>
            </w:r>
          </w:p>
        </w:tc>
        <w:tc>
          <w:tcPr>
            <w:tcW w:w="1654"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xml:space="preserve">《行政许可法》；《政府信息公开条例》《营业性演出管理条例》、《文化部关于落实“先照后证”改进文化市场行政审批工作的通知》 </w:t>
            </w:r>
          </w:p>
        </w:tc>
        <w:tc>
          <w:tcPr>
            <w:tcW w:w="151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信息形成或变更之日起20个工作日内公开</w:t>
            </w:r>
          </w:p>
        </w:tc>
        <w:tc>
          <w:tcPr>
            <w:tcW w:w="1500"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汽开区</w:t>
            </w:r>
          </w:p>
          <w:p>
            <w:pPr>
              <w:spacing w:line="240" w:lineRule="exact"/>
              <w:jc w:val="center"/>
              <w:rPr>
                <w:rFonts w:hint="eastAsia" w:ascii="仿宋_GB2312" w:hAnsi="Times New Roman" w:eastAsia="仿宋_GB2312"/>
                <w:sz w:val="18"/>
                <w:szCs w:val="18"/>
              </w:rPr>
            </w:pPr>
            <w:r>
              <w:rPr>
                <w:rFonts w:hint="eastAsia" w:ascii="仿宋_GB2312" w:hAnsi="Times New Roman" w:eastAsia="仿宋_GB2312"/>
                <w:sz w:val="18"/>
                <w:szCs w:val="18"/>
                <w:lang w:eastAsia="zh-CN"/>
              </w:rPr>
              <w:t>社会事业局</w:t>
            </w:r>
          </w:p>
        </w:tc>
        <w:tc>
          <w:tcPr>
            <w:tcW w:w="1525" w:type="dxa"/>
            <w:shd w:val="clear" w:color="auto" w:fill="FFFFFF" w:themeFill="background1"/>
            <w:noWrap w:val="0"/>
            <w:vAlign w:val="center"/>
          </w:tcPr>
          <w:p>
            <w:pPr>
              <w:spacing w:line="240" w:lineRule="exact"/>
              <w:jc w:val="left"/>
              <w:rPr>
                <w:rFonts w:hint="eastAsia" w:ascii="仿宋" w:hAnsi="仿宋" w:eastAsia="仿宋" w:cs="仿宋"/>
                <w:sz w:val="18"/>
                <w:szCs w:val="18"/>
              </w:rPr>
            </w:pPr>
            <w:r>
              <w:rPr>
                <w:rFonts w:hint="eastAsia" w:ascii="仿宋" w:hAnsi="仿宋" w:eastAsia="仿宋" w:cs="仿宋"/>
                <w:sz w:val="18"/>
                <w:szCs w:val="18"/>
              </w:rPr>
              <w:t xml:space="preserve">■政府网站            ■政务服务中心   </w:t>
            </w:r>
          </w:p>
        </w:tc>
        <w:tc>
          <w:tcPr>
            <w:tcW w:w="1700" w:type="dxa"/>
            <w:shd w:val="clear" w:color="auto" w:fill="FFFFFF" w:themeFill="background1"/>
            <w:noWrap w:val="0"/>
            <w:vAlign w:val="top"/>
          </w:tcPr>
          <w:p>
            <w:pPr>
              <w:spacing w:line="240" w:lineRule="exact"/>
              <w:rPr>
                <w:rFonts w:hint="eastAsia" w:ascii="仿宋_GB2312" w:hAnsi="Times New Roman" w:eastAsia="仿宋_GB2312"/>
                <w:sz w:val="18"/>
                <w:szCs w:val="18"/>
              </w:rPr>
            </w:pP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c>
          <w:tcPr>
            <w:tcW w:w="398" w:type="dxa"/>
            <w:shd w:val="clear" w:color="auto" w:fill="FFFFFF" w:themeFill="background1"/>
            <w:noWrap w:val="0"/>
            <w:vAlign w:val="center"/>
          </w:tcPr>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48" w:type="dxa"/>
            <w:shd w:val="clear" w:color="auto" w:fill="FFFFFF" w:themeFill="background1"/>
            <w:noWrap w:val="0"/>
            <w:vAlign w:val="center"/>
          </w:tcPr>
          <w:p>
            <w:pPr>
              <w:spacing w:line="240" w:lineRule="exact"/>
              <w:jc w:val="center"/>
              <w:rPr>
                <w:rFonts w:ascii="仿宋_GB2312" w:hAnsi="Times New Roman" w:eastAsia="仿宋_GB2312"/>
                <w:sz w:val="18"/>
                <w:szCs w:val="18"/>
              </w:rPr>
            </w:pPr>
            <w:r>
              <w:rPr>
                <w:rFonts w:hint="eastAsia" w:ascii="仿宋_GB2312" w:hAnsi="Times New Roman" w:eastAsia="仿宋_GB2312"/>
                <w:sz w:val="18"/>
                <w:szCs w:val="18"/>
              </w:rPr>
              <w:t>7</w:t>
            </w:r>
          </w:p>
        </w:tc>
        <w:tc>
          <w:tcPr>
            <w:tcW w:w="610" w:type="dxa"/>
            <w:vMerge w:val="restart"/>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行政</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许可</w:t>
            </w:r>
          </w:p>
        </w:tc>
        <w:tc>
          <w:tcPr>
            <w:tcW w:w="1356" w:type="dxa"/>
            <w:shd w:val="clear" w:color="auto" w:fill="FFFFFF" w:themeFill="background1"/>
            <w:noWrap w:val="0"/>
            <w:vAlign w:val="center"/>
          </w:tcPr>
          <w:p>
            <w:pPr>
              <w:spacing w:line="240" w:lineRule="exact"/>
              <w:rPr>
                <w:rFonts w:hint="eastAsia" w:ascii="仿宋_GB2312" w:hAnsi="Times New Roman" w:eastAsia="仿宋_GB2312"/>
                <w:sz w:val="18"/>
                <w:szCs w:val="18"/>
              </w:rPr>
            </w:pPr>
          </w:p>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县级文物保护单位实施原址保护措施审批</w:t>
            </w:r>
          </w:p>
          <w:p>
            <w:pPr>
              <w:spacing w:line="240" w:lineRule="exact"/>
              <w:rPr>
                <w:rFonts w:hint="eastAsia" w:ascii="仿宋_GB2312" w:hAnsi="Times New Roman" w:eastAsia="仿宋_GB2312"/>
                <w:sz w:val="18"/>
                <w:szCs w:val="18"/>
              </w:rPr>
            </w:pPr>
          </w:p>
        </w:tc>
        <w:tc>
          <w:tcPr>
            <w:tcW w:w="1493"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1.办事指南：内容同上;</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2.行政许可决定。</w:t>
            </w:r>
          </w:p>
        </w:tc>
        <w:tc>
          <w:tcPr>
            <w:tcW w:w="1654" w:type="dxa"/>
            <w:shd w:val="clear" w:color="auto" w:fill="FFFFFF" w:themeFill="background1"/>
            <w:noWrap w:val="0"/>
            <w:vAlign w:val="center"/>
          </w:tcPr>
          <w:p>
            <w:pPr>
              <w:spacing w:line="240" w:lineRule="exact"/>
              <w:rPr>
                <w:rFonts w:hint="eastAsia" w:ascii="仿宋_GB2312" w:hAnsi="Times New Roman" w:eastAsia="仿宋_GB2312"/>
                <w:sz w:val="18"/>
                <w:szCs w:val="18"/>
                <w:lang w:eastAsia="zh-CN"/>
              </w:rPr>
            </w:pPr>
            <w:r>
              <w:rPr>
                <w:rFonts w:hint="eastAsia" w:ascii="仿宋_GB2312" w:hAnsi="Times New Roman" w:eastAsia="仿宋_GB2312"/>
                <w:sz w:val="18"/>
                <w:szCs w:val="18"/>
              </w:rPr>
              <w:t>《行政许可法》；《政府信息公开条例》</w:t>
            </w:r>
            <w:r>
              <w:rPr>
                <w:rFonts w:hint="eastAsia" w:ascii="仿宋_GB2312" w:hAnsi="Times New Roman" w:eastAsia="仿宋_GB2312"/>
                <w:sz w:val="18"/>
                <w:szCs w:val="18"/>
                <w:lang w:eastAsia="zh-CN"/>
              </w:rPr>
              <w:t>、《中华人民共和国文物保护法》、《中华人民共和国文物宝华发实施条例》</w:t>
            </w:r>
          </w:p>
          <w:p>
            <w:pPr>
              <w:spacing w:line="240" w:lineRule="exact"/>
              <w:rPr>
                <w:rFonts w:hint="eastAsia" w:ascii="仿宋_GB2312" w:hAnsi="Times New Roman" w:eastAsia="仿宋_GB2312"/>
                <w:sz w:val="18"/>
                <w:szCs w:val="18"/>
              </w:rPr>
            </w:pPr>
          </w:p>
        </w:tc>
        <w:tc>
          <w:tcPr>
            <w:tcW w:w="1515"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信息形成或变更之日起20个工作日内公开</w:t>
            </w:r>
          </w:p>
        </w:tc>
        <w:tc>
          <w:tcPr>
            <w:tcW w:w="1500"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汽开区</w:t>
            </w:r>
          </w:p>
          <w:p>
            <w:pPr>
              <w:spacing w:line="240" w:lineRule="exact"/>
              <w:jc w:val="center"/>
              <w:rPr>
                <w:rFonts w:ascii="仿宋_GB2312" w:hAnsi="Times New Roman" w:eastAsia="仿宋_GB2312"/>
                <w:sz w:val="18"/>
                <w:szCs w:val="18"/>
              </w:rPr>
            </w:pPr>
            <w:r>
              <w:rPr>
                <w:rFonts w:hint="eastAsia" w:ascii="仿宋_GB2312" w:hAnsi="Times New Roman" w:eastAsia="仿宋_GB2312"/>
                <w:sz w:val="18"/>
                <w:szCs w:val="18"/>
                <w:lang w:eastAsia="zh-CN"/>
              </w:rPr>
              <w:t>社会事业局</w:t>
            </w:r>
          </w:p>
        </w:tc>
        <w:tc>
          <w:tcPr>
            <w:tcW w:w="1525" w:type="dxa"/>
            <w:shd w:val="clear" w:color="auto" w:fill="FFFFFF" w:themeFill="background1"/>
            <w:noWrap w:val="0"/>
            <w:vAlign w:val="center"/>
          </w:tcPr>
          <w:p>
            <w:pPr>
              <w:spacing w:line="240" w:lineRule="exact"/>
              <w:jc w:val="left"/>
              <w:rPr>
                <w:rFonts w:hint="eastAsia" w:ascii="仿宋" w:hAnsi="仿宋" w:eastAsia="仿宋" w:cs="仿宋"/>
                <w:sz w:val="18"/>
                <w:szCs w:val="18"/>
              </w:rPr>
            </w:pPr>
            <w:r>
              <w:rPr>
                <w:rFonts w:hint="eastAsia" w:ascii="仿宋" w:hAnsi="仿宋" w:eastAsia="仿宋" w:cs="仿宋"/>
                <w:sz w:val="18"/>
                <w:szCs w:val="18"/>
              </w:rPr>
              <w:t xml:space="preserve">■政府网站              </w:t>
            </w:r>
          </w:p>
        </w:tc>
        <w:tc>
          <w:tcPr>
            <w:tcW w:w="1700" w:type="dxa"/>
            <w:shd w:val="clear" w:color="auto" w:fill="FFFFFF" w:themeFill="background1"/>
            <w:noWrap w:val="0"/>
            <w:vAlign w:val="top"/>
          </w:tcPr>
          <w:p>
            <w:pPr>
              <w:spacing w:line="240" w:lineRule="exact"/>
              <w:rPr>
                <w:rFonts w:hint="eastAsia" w:ascii="仿宋_GB2312" w:hAnsi="Times New Roman" w:eastAsia="仿宋_GB2312"/>
                <w:sz w:val="18"/>
                <w:szCs w:val="18"/>
              </w:rPr>
            </w:pPr>
          </w:p>
        </w:tc>
        <w:tc>
          <w:tcPr>
            <w:tcW w:w="395" w:type="dxa"/>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w:t>
            </w:r>
          </w:p>
        </w:tc>
        <w:tc>
          <w:tcPr>
            <w:tcW w:w="398" w:type="dxa"/>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48"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8</w:t>
            </w:r>
          </w:p>
        </w:tc>
        <w:tc>
          <w:tcPr>
            <w:tcW w:w="610" w:type="dxa"/>
            <w:vMerge w:val="continue"/>
            <w:shd w:val="clear" w:color="auto" w:fill="FFFFFF" w:themeFill="background1"/>
            <w:noWrap w:val="0"/>
            <w:vAlign w:val="center"/>
          </w:tcPr>
          <w:p>
            <w:pPr>
              <w:spacing w:line="240" w:lineRule="exact"/>
              <w:rPr>
                <w:rFonts w:ascii="仿宋_GB2312" w:hAnsi="Times New Roman" w:eastAsia="仿宋_GB2312"/>
                <w:sz w:val="18"/>
                <w:szCs w:val="18"/>
              </w:rPr>
            </w:pPr>
          </w:p>
        </w:tc>
        <w:tc>
          <w:tcPr>
            <w:tcW w:w="1356" w:type="dxa"/>
            <w:shd w:val="clear" w:color="auto" w:fill="FFFFFF" w:themeFill="background1"/>
            <w:noWrap w:val="0"/>
            <w:vAlign w:val="center"/>
          </w:tcPr>
          <w:p>
            <w:pPr>
              <w:spacing w:line="240" w:lineRule="exact"/>
              <w:rPr>
                <w:rFonts w:hint="eastAsia" w:ascii="仿宋_GB2312" w:hAnsi="Times New Roman" w:eastAsia="仿宋_GB2312"/>
                <w:sz w:val="18"/>
                <w:szCs w:val="18"/>
              </w:rPr>
            </w:pPr>
          </w:p>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县级文物保护单位和未核定为文物保护单位的不可移动文物修缮审批</w:t>
            </w:r>
          </w:p>
          <w:p>
            <w:pPr>
              <w:spacing w:line="240" w:lineRule="exact"/>
              <w:rPr>
                <w:rFonts w:hint="eastAsia" w:ascii="仿宋_GB2312" w:hAnsi="Times New Roman" w:eastAsia="仿宋_GB2312"/>
                <w:sz w:val="18"/>
                <w:szCs w:val="18"/>
              </w:rPr>
            </w:pPr>
          </w:p>
        </w:tc>
        <w:tc>
          <w:tcPr>
            <w:tcW w:w="1493"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1.办事指南：内容同上;</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2.行政许可决定。</w:t>
            </w:r>
          </w:p>
        </w:tc>
        <w:tc>
          <w:tcPr>
            <w:tcW w:w="1654" w:type="dxa"/>
            <w:shd w:val="clear" w:color="auto" w:fill="FFFFFF" w:themeFill="background1"/>
            <w:noWrap w:val="0"/>
            <w:vAlign w:val="center"/>
          </w:tcPr>
          <w:p>
            <w:pPr>
              <w:spacing w:line="240" w:lineRule="exact"/>
              <w:rPr>
                <w:rFonts w:hint="eastAsia" w:ascii="仿宋_GB2312" w:hAnsi="Times New Roman" w:eastAsia="仿宋_GB2312"/>
                <w:sz w:val="18"/>
                <w:szCs w:val="18"/>
              </w:rPr>
            </w:pPr>
          </w:p>
          <w:p>
            <w:pPr>
              <w:spacing w:line="240" w:lineRule="exact"/>
              <w:rPr>
                <w:rFonts w:hint="eastAsia" w:ascii="仿宋_GB2312" w:hAnsi="Times New Roman" w:eastAsia="仿宋_GB2312"/>
                <w:sz w:val="18"/>
                <w:szCs w:val="18"/>
                <w:lang w:eastAsia="zh-CN"/>
              </w:rPr>
            </w:pPr>
            <w:r>
              <w:rPr>
                <w:rFonts w:hint="eastAsia" w:ascii="仿宋_GB2312" w:hAnsi="Times New Roman" w:eastAsia="仿宋_GB2312"/>
                <w:sz w:val="18"/>
                <w:szCs w:val="18"/>
              </w:rPr>
              <w:t>《行政许可法》；《政府信息公开条例》</w:t>
            </w:r>
            <w:r>
              <w:rPr>
                <w:rFonts w:hint="eastAsia" w:ascii="仿宋_GB2312" w:hAnsi="Times New Roman" w:eastAsia="仿宋_GB2312"/>
                <w:sz w:val="18"/>
                <w:szCs w:val="18"/>
                <w:lang w:eastAsia="zh-CN"/>
              </w:rPr>
              <w:t>、《中华人民共和国文物保护法》、《中华人民共和国文物宝华发实施条例》</w:t>
            </w:r>
          </w:p>
          <w:p>
            <w:pPr>
              <w:spacing w:line="240" w:lineRule="exact"/>
              <w:rPr>
                <w:rFonts w:hint="eastAsia" w:ascii="仿宋_GB2312" w:hAnsi="Times New Roman" w:eastAsia="仿宋_GB2312"/>
                <w:sz w:val="18"/>
                <w:szCs w:val="18"/>
              </w:rPr>
            </w:pPr>
          </w:p>
        </w:tc>
        <w:tc>
          <w:tcPr>
            <w:tcW w:w="1515"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信息形成或变更之日起20个工作日内公开</w:t>
            </w:r>
          </w:p>
        </w:tc>
        <w:tc>
          <w:tcPr>
            <w:tcW w:w="1500"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汽开区</w:t>
            </w:r>
          </w:p>
          <w:p>
            <w:pPr>
              <w:spacing w:line="240" w:lineRule="exact"/>
              <w:jc w:val="center"/>
              <w:rPr>
                <w:rFonts w:ascii="仿宋_GB2312" w:hAnsi="Times New Roman" w:eastAsia="仿宋_GB2312"/>
                <w:sz w:val="18"/>
                <w:szCs w:val="18"/>
              </w:rPr>
            </w:pPr>
            <w:r>
              <w:rPr>
                <w:rFonts w:hint="eastAsia" w:ascii="仿宋_GB2312" w:hAnsi="Times New Roman" w:eastAsia="仿宋_GB2312"/>
                <w:sz w:val="18"/>
                <w:szCs w:val="18"/>
                <w:lang w:eastAsia="zh-CN"/>
              </w:rPr>
              <w:t>社会事业局</w:t>
            </w:r>
          </w:p>
        </w:tc>
        <w:tc>
          <w:tcPr>
            <w:tcW w:w="1525" w:type="dxa"/>
            <w:shd w:val="clear" w:color="auto" w:fill="FFFFFF" w:themeFill="background1"/>
            <w:noWrap w:val="0"/>
            <w:vAlign w:val="center"/>
          </w:tcPr>
          <w:p>
            <w:pPr>
              <w:spacing w:line="240" w:lineRule="exact"/>
              <w:jc w:val="left"/>
              <w:rPr>
                <w:rFonts w:ascii="仿宋_GB2312" w:hAnsi="Times New Roman" w:eastAsia="仿宋_GB2312"/>
                <w:sz w:val="18"/>
                <w:szCs w:val="18"/>
              </w:rPr>
            </w:pPr>
            <w:r>
              <w:rPr>
                <w:rFonts w:hint="eastAsia" w:ascii="仿宋_GB2312" w:hAnsi="Times New Roman" w:eastAsia="仿宋_GB2312"/>
                <w:sz w:val="18"/>
                <w:szCs w:val="18"/>
              </w:rPr>
              <w:t xml:space="preserve">■政府网站               </w:t>
            </w:r>
          </w:p>
        </w:tc>
        <w:tc>
          <w:tcPr>
            <w:tcW w:w="1700" w:type="dxa"/>
            <w:shd w:val="clear" w:color="auto" w:fill="FFFFFF" w:themeFill="background1"/>
            <w:noWrap w:val="0"/>
            <w:vAlign w:val="top"/>
          </w:tcPr>
          <w:p>
            <w:pPr>
              <w:spacing w:line="240" w:lineRule="exact"/>
              <w:rPr>
                <w:rFonts w:hint="eastAsia" w:ascii="仿宋_GB2312" w:hAnsi="Times New Roman" w:eastAsia="仿宋_GB2312"/>
                <w:sz w:val="18"/>
                <w:szCs w:val="18"/>
              </w:rPr>
            </w:pPr>
          </w:p>
        </w:tc>
        <w:tc>
          <w:tcPr>
            <w:tcW w:w="395" w:type="dxa"/>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w:t>
            </w:r>
          </w:p>
        </w:tc>
        <w:tc>
          <w:tcPr>
            <w:tcW w:w="398" w:type="dxa"/>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48"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9</w:t>
            </w:r>
          </w:p>
        </w:tc>
        <w:tc>
          <w:tcPr>
            <w:tcW w:w="610" w:type="dxa"/>
            <w:vMerge w:val="continue"/>
            <w:shd w:val="clear" w:color="auto" w:fill="FFFFFF" w:themeFill="background1"/>
            <w:noWrap w:val="0"/>
            <w:vAlign w:val="center"/>
          </w:tcPr>
          <w:p>
            <w:pPr>
              <w:spacing w:line="240" w:lineRule="exact"/>
              <w:rPr>
                <w:rFonts w:ascii="仿宋_GB2312" w:hAnsi="Times New Roman" w:eastAsia="仿宋_GB2312"/>
                <w:sz w:val="18"/>
                <w:szCs w:val="18"/>
              </w:rPr>
            </w:pPr>
          </w:p>
        </w:tc>
        <w:tc>
          <w:tcPr>
            <w:tcW w:w="1356" w:type="dxa"/>
            <w:shd w:val="clear" w:color="auto" w:fill="FFFFFF" w:themeFill="background1"/>
            <w:noWrap w:val="0"/>
            <w:vAlign w:val="center"/>
          </w:tcPr>
          <w:p>
            <w:pPr>
              <w:spacing w:line="240" w:lineRule="exact"/>
              <w:rPr>
                <w:rFonts w:hint="eastAsia" w:ascii="仿宋_GB2312" w:hAnsi="Times New Roman" w:eastAsia="仿宋_GB2312"/>
                <w:sz w:val="18"/>
                <w:szCs w:val="18"/>
              </w:rPr>
            </w:pPr>
          </w:p>
          <w:p>
            <w:pPr>
              <w:spacing w:line="240" w:lineRule="exact"/>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县级文物保护单位建设控制地带内的建设项目</w:t>
            </w:r>
          </w:p>
          <w:p>
            <w:pPr>
              <w:spacing w:line="240" w:lineRule="exact"/>
              <w:rPr>
                <w:rFonts w:hint="eastAsia" w:ascii="仿宋_GB2312" w:hAnsi="Times New Roman" w:eastAsia="仿宋_GB2312"/>
                <w:sz w:val="18"/>
                <w:szCs w:val="18"/>
                <w:lang w:eastAsia="zh-CN"/>
              </w:rPr>
            </w:pPr>
          </w:p>
        </w:tc>
        <w:tc>
          <w:tcPr>
            <w:tcW w:w="1493"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1.办事指南：内容同上;</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2.行政许可决定。</w:t>
            </w:r>
          </w:p>
        </w:tc>
        <w:tc>
          <w:tcPr>
            <w:tcW w:w="1654" w:type="dxa"/>
            <w:shd w:val="clear" w:color="auto" w:fill="FFFFFF" w:themeFill="background1"/>
            <w:noWrap w:val="0"/>
            <w:vAlign w:val="center"/>
          </w:tcPr>
          <w:p>
            <w:pPr>
              <w:spacing w:line="240" w:lineRule="exact"/>
              <w:rPr>
                <w:rFonts w:hint="eastAsia" w:ascii="仿宋_GB2312" w:hAnsi="Times New Roman" w:eastAsia="仿宋_GB2312"/>
                <w:sz w:val="18"/>
                <w:szCs w:val="18"/>
              </w:rPr>
            </w:pPr>
          </w:p>
          <w:p>
            <w:pPr>
              <w:spacing w:line="240" w:lineRule="exact"/>
              <w:rPr>
                <w:rFonts w:hint="eastAsia" w:ascii="仿宋_GB2312" w:hAnsi="Times New Roman" w:eastAsia="仿宋_GB2312"/>
                <w:sz w:val="18"/>
                <w:szCs w:val="18"/>
                <w:lang w:eastAsia="zh-CN"/>
              </w:rPr>
            </w:pPr>
            <w:r>
              <w:rPr>
                <w:rFonts w:hint="eastAsia" w:ascii="仿宋_GB2312" w:hAnsi="Times New Roman" w:eastAsia="仿宋_GB2312"/>
                <w:sz w:val="18"/>
                <w:szCs w:val="18"/>
              </w:rPr>
              <w:t>《行政许可法》</w:t>
            </w:r>
            <w:r>
              <w:rPr>
                <w:rFonts w:hint="eastAsia" w:ascii="仿宋_GB2312" w:hAnsi="Times New Roman" w:eastAsia="仿宋_GB2312"/>
                <w:sz w:val="18"/>
                <w:szCs w:val="18"/>
                <w:lang w:eastAsia="zh-CN"/>
              </w:rPr>
              <w:t>、</w:t>
            </w:r>
            <w:r>
              <w:rPr>
                <w:rFonts w:hint="eastAsia" w:ascii="仿宋_GB2312" w:hAnsi="Times New Roman" w:eastAsia="仿宋_GB2312"/>
                <w:sz w:val="18"/>
                <w:szCs w:val="18"/>
              </w:rPr>
              <w:t>《政府信息公开条例》</w:t>
            </w:r>
            <w:r>
              <w:rPr>
                <w:rFonts w:hint="eastAsia" w:ascii="仿宋_GB2312" w:hAnsi="Times New Roman" w:eastAsia="仿宋_GB2312"/>
                <w:sz w:val="18"/>
                <w:szCs w:val="18"/>
                <w:lang w:eastAsia="zh-CN"/>
              </w:rPr>
              <w:t>、《中华人民共和国文物保护法》、《中华人民共和国文物宝华发实施条例》</w:t>
            </w:r>
          </w:p>
          <w:p>
            <w:pPr>
              <w:spacing w:line="240" w:lineRule="exact"/>
              <w:rPr>
                <w:rFonts w:hint="eastAsia" w:ascii="仿宋_GB2312" w:hAnsi="Times New Roman" w:eastAsia="仿宋_GB2312"/>
                <w:sz w:val="18"/>
                <w:szCs w:val="18"/>
                <w:lang w:eastAsia="zh-CN"/>
              </w:rPr>
            </w:pPr>
          </w:p>
        </w:tc>
        <w:tc>
          <w:tcPr>
            <w:tcW w:w="1515"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信息形成或变更之日起20个工作日内公开</w:t>
            </w:r>
          </w:p>
        </w:tc>
        <w:tc>
          <w:tcPr>
            <w:tcW w:w="1500"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汽开区</w:t>
            </w:r>
          </w:p>
          <w:p>
            <w:pPr>
              <w:spacing w:line="240" w:lineRule="exact"/>
              <w:jc w:val="center"/>
              <w:rPr>
                <w:rFonts w:ascii="仿宋_GB2312" w:hAnsi="Times New Roman" w:eastAsia="仿宋_GB2312"/>
                <w:sz w:val="18"/>
                <w:szCs w:val="18"/>
              </w:rPr>
            </w:pPr>
            <w:r>
              <w:rPr>
                <w:rFonts w:hint="eastAsia" w:ascii="仿宋_GB2312" w:hAnsi="Times New Roman" w:eastAsia="仿宋_GB2312"/>
                <w:sz w:val="18"/>
                <w:szCs w:val="18"/>
                <w:lang w:eastAsia="zh-CN"/>
              </w:rPr>
              <w:t>社会事业局</w:t>
            </w:r>
          </w:p>
        </w:tc>
        <w:tc>
          <w:tcPr>
            <w:tcW w:w="1525" w:type="dxa"/>
            <w:shd w:val="clear" w:color="auto" w:fill="FFFFFF" w:themeFill="background1"/>
            <w:noWrap w:val="0"/>
            <w:vAlign w:val="center"/>
          </w:tcPr>
          <w:p>
            <w:pPr>
              <w:spacing w:line="240" w:lineRule="exact"/>
              <w:jc w:val="left"/>
              <w:rPr>
                <w:rFonts w:ascii="仿宋_GB2312" w:hAnsi="Times New Roman" w:eastAsia="仿宋_GB2312"/>
                <w:sz w:val="18"/>
                <w:szCs w:val="18"/>
              </w:rPr>
            </w:pPr>
            <w:r>
              <w:rPr>
                <w:rFonts w:hint="eastAsia" w:ascii="仿宋_GB2312" w:hAnsi="Times New Roman" w:eastAsia="仿宋_GB2312"/>
                <w:sz w:val="18"/>
                <w:szCs w:val="18"/>
              </w:rPr>
              <w:t xml:space="preserve">■政府网站               </w:t>
            </w:r>
          </w:p>
        </w:tc>
        <w:tc>
          <w:tcPr>
            <w:tcW w:w="1700" w:type="dxa"/>
            <w:shd w:val="clear" w:color="auto" w:fill="FFFFFF" w:themeFill="background1"/>
            <w:noWrap w:val="0"/>
            <w:vAlign w:val="top"/>
          </w:tcPr>
          <w:p>
            <w:pPr>
              <w:spacing w:line="240" w:lineRule="exact"/>
              <w:rPr>
                <w:rFonts w:hint="eastAsia" w:ascii="仿宋_GB2312" w:hAnsi="Times New Roman" w:eastAsia="仿宋_GB2312"/>
                <w:sz w:val="18"/>
                <w:szCs w:val="18"/>
              </w:rPr>
            </w:pPr>
          </w:p>
        </w:tc>
        <w:tc>
          <w:tcPr>
            <w:tcW w:w="395"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w:t>
            </w:r>
          </w:p>
        </w:tc>
        <w:tc>
          <w:tcPr>
            <w:tcW w:w="398" w:type="dxa"/>
            <w:shd w:val="clear" w:color="auto" w:fill="FFFFFF" w:themeFill="background1"/>
            <w:noWrap w:val="0"/>
            <w:vAlign w:val="center"/>
          </w:tcPr>
          <w:p>
            <w:pPr>
              <w:spacing w:line="240" w:lineRule="exact"/>
              <w:rPr>
                <w:rFonts w:ascii="仿宋_GB2312" w:hAnsi="Times New Roman" w:eastAsia="仿宋_GB2312" w:cs="Times New Roman"/>
                <w:kern w:val="2"/>
                <w:sz w:val="18"/>
                <w:szCs w:val="18"/>
                <w:lang w:val="en-US" w:eastAsia="zh-CN" w:bidi="ar-SA"/>
              </w:rPr>
            </w:pPr>
            <w:r>
              <w:rPr>
                <w:rFonts w:hint="eastAsia" w:ascii="仿宋_GB2312" w:hAnsi="Times New Roman" w:eastAsia="仿宋_GB2312"/>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48"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10</w:t>
            </w:r>
          </w:p>
        </w:tc>
        <w:tc>
          <w:tcPr>
            <w:tcW w:w="610" w:type="dxa"/>
            <w:vMerge w:val="continue"/>
            <w:shd w:val="clear" w:color="auto" w:fill="FFFFFF" w:themeFill="background1"/>
            <w:noWrap w:val="0"/>
            <w:vAlign w:val="center"/>
          </w:tcPr>
          <w:p>
            <w:pPr>
              <w:spacing w:line="240" w:lineRule="exact"/>
              <w:rPr>
                <w:rFonts w:ascii="仿宋_GB2312" w:hAnsi="Times New Roman" w:eastAsia="仿宋_GB2312"/>
                <w:sz w:val="18"/>
                <w:szCs w:val="18"/>
              </w:rPr>
            </w:pPr>
          </w:p>
        </w:tc>
        <w:tc>
          <w:tcPr>
            <w:tcW w:w="1356" w:type="dxa"/>
            <w:shd w:val="clear" w:color="auto" w:fill="FFFFFF" w:themeFill="background1"/>
            <w:noWrap w:val="0"/>
            <w:vAlign w:val="center"/>
          </w:tcPr>
          <w:p>
            <w:pPr>
              <w:spacing w:line="240" w:lineRule="exact"/>
              <w:rPr>
                <w:rFonts w:hint="eastAsia" w:ascii="仿宋_GB2312" w:hAnsi="Times New Roman" w:eastAsia="仿宋_GB2312"/>
                <w:sz w:val="18"/>
                <w:szCs w:val="18"/>
              </w:rPr>
            </w:pPr>
          </w:p>
          <w:p>
            <w:pPr>
              <w:spacing w:line="240" w:lineRule="exact"/>
              <w:rPr>
                <w:rFonts w:hint="eastAsia" w:ascii="仿宋_GB2312" w:hAnsi="Times New Roman" w:eastAsia="仿宋_GB2312"/>
                <w:sz w:val="18"/>
                <w:szCs w:val="18"/>
              </w:rPr>
            </w:pPr>
            <w:r>
              <w:rPr>
                <w:rFonts w:hint="eastAsia" w:ascii="仿宋_GB2312" w:hAnsi="Times New Roman" w:eastAsia="仿宋_GB2312"/>
                <w:sz w:val="18"/>
                <w:szCs w:val="18"/>
              </w:rPr>
              <w:t>非国有文物收藏单位和其他单位举办展览需借用国有馆藏二级以下文物审批</w:t>
            </w:r>
          </w:p>
          <w:p>
            <w:pPr>
              <w:spacing w:line="240" w:lineRule="exact"/>
              <w:rPr>
                <w:rFonts w:hint="eastAsia" w:ascii="仿宋_GB2312" w:hAnsi="Times New Roman" w:eastAsia="仿宋_GB2312"/>
                <w:sz w:val="18"/>
                <w:szCs w:val="18"/>
              </w:rPr>
            </w:pPr>
          </w:p>
        </w:tc>
        <w:tc>
          <w:tcPr>
            <w:tcW w:w="1493"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1.办事指南：内容同上;</w:t>
            </w:r>
            <w:r>
              <w:rPr>
                <w:rFonts w:hint="eastAsia" w:ascii="仿宋_GB2312" w:hAnsi="Times New Roman" w:eastAsia="仿宋_GB2312"/>
                <w:sz w:val="18"/>
                <w:szCs w:val="18"/>
              </w:rPr>
              <w:br w:type="textWrapping"/>
            </w:r>
            <w:r>
              <w:rPr>
                <w:rFonts w:hint="eastAsia" w:ascii="仿宋_GB2312" w:hAnsi="Times New Roman" w:eastAsia="仿宋_GB2312"/>
                <w:sz w:val="18"/>
                <w:szCs w:val="18"/>
              </w:rPr>
              <w:t>2.行政许可决定。</w:t>
            </w:r>
          </w:p>
        </w:tc>
        <w:tc>
          <w:tcPr>
            <w:tcW w:w="1654"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《行政许可法》、《政府信息公开条例》</w:t>
            </w:r>
            <w:r>
              <w:rPr>
                <w:rFonts w:hint="eastAsia" w:ascii="仿宋_GB2312" w:hAnsi="Times New Roman" w:eastAsia="仿宋_GB2312"/>
                <w:sz w:val="18"/>
                <w:szCs w:val="18"/>
                <w:lang w:eastAsia="zh-CN"/>
              </w:rPr>
              <w:t>、《中华人民共和国文物保护法》、《中华人民共和国文物宝华发实施条例》</w:t>
            </w:r>
          </w:p>
        </w:tc>
        <w:tc>
          <w:tcPr>
            <w:tcW w:w="1515"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信息形成或变更之日起20个工作日内公开</w:t>
            </w:r>
          </w:p>
        </w:tc>
        <w:tc>
          <w:tcPr>
            <w:tcW w:w="1500" w:type="dxa"/>
            <w:shd w:val="clear" w:color="auto" w:fill="FFFFFF" w:themeFill="background1"/>
            <w:noWrap w:val="0"/>
            <w:vAlign w:val="center"/>
          </w:tcPr>
          <w:p>
            <w:pPr>
              <w:spacing w:line="240" w:lineRule="exact"/>
              <w:jc w:val="center"/>
              <w:rPr>
                <w:rFonts w:hint="eastAsia" w:ascii="仿宋_GB2312" w:hAnsi="Times New Roman" w:eastAsia="仿宋_GB2312"/>
                <w:sz w:val="18"/>
                <w:szCs w:val="18"/>
                <w:lang w:eastAsia="zh-CN"/>
              </w:rPr>
            </w:pPr>
            <w:r>
              <w:rPr>
                <w:rFonts w:hint="eastAsia" w:ascii="仿宋_GB2312" w:hAnsi="Times New Roman" w:eastAsia="仿宋_GB2312"/>
                <w:sz w:val="18"/>
                <w:szCs w:val="18"/>
                <w:lang w:eastAsia="zh-CN"/>
              </w:rPr>
              <w:t>汽开区</w:t>
            </w:r>
          </w:p>
          <w:p>
            <w:pPr>
              <w:spacing w:line="240" w:lineRule="exact"/>
              <w:jc w:val="center"/>
              <w:rPr>
                <w:rFonts w:ascii="仿宋_GB2312" w:hAnsi="Times New Roman" w:eastAsia="仿宋_GB2312"/>
                <w:sz w:val="18"/>
                <w:szCs w:val="18"/>
              </w:rPr>
            </w:pPr>
            <w:r>
              <w:rPr>
                <w:rFonts w:hint="eastAsia" w:ascii="仿宋_GB2312" w:hAnsi="Times New Roman" w:eastAsia="仿宋_GB2312"/>
                <w:sz w:val="18"/>
                <w:szCs w:val="18"/>
                <w:lang w:eastAsia="zh-CN"/>
              </w:rPr>
              <w:t>社会事业局</w:t>
            </w:r>
          </w:p>
        </w:tc>
        <w:tc>
          <w:tcPr>
            <w:tcW w:w="1525" w:type="dxa"/>
            <w:shd w:val="clear" w:color="auto" w:fill="FFFFFF" w:themeFill="background1"/>
            <w:noWrap w:val="0"/>
            <w:vAlign w:val="center"/>
          </w:tcPr>
          <w:p>
            <w:pPr>
              <w:spacing w:line="240" w:lineRule="exact"/>
              <w:jc w:val="left"/>
              <w:rPr>
                <w:rFonts w:ascii="仿宋_GB2312" w:hAnsi="Times New Roman" w:eastAsia="仿宋_GB2312"/>
                <w:sz w:val="18"/>
                <w:szCs w:val="18"/>
              </w:rPr>
            </w:pPr>
            <w:r>
              <w:rPr>
                <w:rFonts w:hint="eastAsia" w:ascii="仿宋_GB2312" w:hAnsi="Times New Roman" w:eastAsia="仿宋_GB2312"/>
                <w:sz w:val="18"/>
                <w:szCs w:val="18"/>
              </w:rPr>
              <w:t xml:space="preserve">■政府网站             </w:t>
            </w:r>
          </w:p>
        </w:tc>
        <w:tc>
          <w:tcPr>
            <w:tcW w:w="1700" w:type="dxa"/>
            <w:shd w:val="clear" w:color="auto" w:fill="FFFFFF" w:themeFill="background1"/>
            <w:noWrap w:val="0"/>
            <w:vAlign w:val="top"/>
          </w:tcPr>
          <w:p>
            <w:pPr>
              <w:spacing w:line="240" w:lineRule="exact"/>
              <w:rPr>
                <w:rFonts w:hint="eastAsia" w:ascii="仿宋_GB2312" w:hAnsi="Times New Roman" w:eastAsia="仿宋_GB2312"/>
                <w:sz w:val="18"/>
                <w:szCs w:val="18"/>
              </w:rPr>
            </w:pPr>
          </w:p>
        </w:tc>
        <w:tc>
          <w:tcPr>
            <w:tcW w:w="395"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w:t>
            </w:r>
          </w:p>
        </w:tc>
        <w:tc>
          <w:tcPr>
            <w:tcW w:w="395"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　</w:t>
            </w:r>
          </w:p>
        </w:tc>
        <w:tc>
          <w:tcPr>
            <w:tcW w:w="395" w:type="dxa"/>
            <w:gridSpan w:val="2"/>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w:t>
            </w:r>
          </w:p>
        </w:tc>
        <w:tc>
          <w:tcPr>
            <w:tcW w:w="398" w:type="dxa"/>
            <w:shd w:val="clear" w:color="auto" w:fill="FFFFFF" w:themeFill="background1"/>
            <w:noWrap w:val="0"/>
            <w:vAlign w:val="center"/>
          </w:tcPr>
          <w:p>
            <w:pPr>
              <w:spacing w:line="240" w:lineRule="exact"/>
              <w:rPr>
                <w:rFonts w:ascii="仿宋_GB2312" w:hAnsi="Times New Roman" w:eastAsia="仿宋_GB2312"/>
                <w:sz w:val="18"/>
                <w:szCs w:val="18"/>
              </w:rPr>
            </w:pPr>
            <w:r>
              <w:rPr>
                <w:rFonts w:hint="eastAsia" w:ascii="仿宋_GB2312" w:hAnsi="Times New Roman" w:eastAsia="仿宋_GB2312"/>
                <w:sz w:val="18"/>
                <w:szCs w:val="18"/>
              </w:rPr>
              <w:t>√</w:t>
            </w:r>
          </w:p>
        </w:tc>
      </w:tr>
    </w:tbl>
    <w:p>
      <w:pPr>
        <w:jc w:val="left"/>
        <w:rPr>
          <w:rFonts w:ascii="Times New Roman" w:hAnsi="Times New Roman" w:eastAsia="方正小标宋_GBK"/>
          <w:sz w:val="28"/>
          <w:szCs w:val="28"/>
        </w:rPr>
      </w:pP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80C3453"/>
    <w:rsid w:val="380C3453"/>
    <w:rsid w:val="44EE296B"/>
    <w:rsid w:val="4CD76C6F"/>
    <w:rsid w:val="6E4439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2020-09-03T01:05:00Z</dcterms:created>
  <dc:creator>快乐一生</dc:creator>
  <cp:lastModifiedBy>Yu。</cp:lastModifiedBy>
  <dcterms:modified xsi:type="dcterms:W3CDTF">2021-02-24T06:45:24Z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