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highlight w:val="none"/>
          <w:lang w:eastAsia="zh-CN"/>
        </w:rPr>
      </w:pPr>
      <w:r>
        <w:rPr>
          <w:rFonts w:hint="eastAsia" w:ascii="方正小标宋_GBK" w:hAnsi="方正小标宋_GBK" w:eastAsia="方正小标宋_GBK"/>
          <w:b w:val="0"/>
          <w:bCs w:val="0"/>
          <w:sz w:val="30"/>
          <w:highlight w:val="none"/>
        </w:rPr>
        <w:t>（十</w:t>
      </w:r>
      <w:r>
        <w:rPr>
          <w:rFonts w:hint="eastAsia" w:ascii="方正小标宋_GBK" w:hAnsi="方正小标宋_GBK" w:eastAsia="方正小标宋_GBK"/>
          <w:b w:val="0"/>
          <w:bCs w:val="0"/>
          <w:sz w:val="30"/>
          <w:highlight w:val="none"/>
          <w:lang w:eastAsia="zh-CN"/>
        </w:rPr>
        <w:t>一</w:t>
      </w:r>
      <w:bookmarkStart w:id="0" w:name="_GoBack"/>
      <w:bookmarkEnd w:id="0"/>
      <w:r>
        <w:rPr>
          <w:rFonts w:hint="eastAsia" w:ascii="方正小标宋_GBK" w:hAnsi="方正小标宋_GBK" w:eastAsia="方正小标宋_GBK"/>
          <w:b w:val="0"/>
          <w:bCs w:val="0"/>
          <w:sz w:val="30"/>
          <w:highlight w:val="none"/>
        </w:rPr>
        <w:t>）农村集体土地征收基层政务公开标准目录</w:t>
      </w:r>
    </w:p>
    <w:tbl>
      <w:tblPr>
        <w:tblStyle w:val="3"/>
        <w:tblW w:w="502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462"/>
        <w:gridCol w:w="633"/>
        <w:gridCol w:w="633"/>
        <w:gridCol w:w="2319"/>
        <w:gridCol w:w="1337"/>
        <w:gridCol w:w="1799"/>
        <w:gridCol w:w="1473"/>
        <w:gridCol w:w="1649"/>
        <w:gridCol w:w="1704"/>
        <w:gridCol w:w="382"/>
        <w:gridCol w:w="381"/>
        <w:gridCol w:w="369"/>
        <w:gridCol w:w="381"/>
        <w:gridCol w:w="382"/>
        <w:gridCol w:w="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559" w:hRule="atLeast"/>
          <w:jc w:val="center"/>
        </w:trPr>
        <w:tc>
          <w:tcPr>
            <w:tcW w:w="162" w:type="pct"/>
            <w:vMerge w:val="restart"/>
            <w:shd w:val="clear" w:color="auto" w:fill="FFFFFF" w:themeFill="background1"/>
            <w:noWrap w:val="0"/>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444" w:type="pct"/>
            <w:gridSpan w:val="2"/>
            <w:shd w:val="clear" w:color="auto" w:fill="FFFFFF" w:themeFill="background1"/>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813" w:type="pct"/>
            <w:vMerge w:val="restart"/>
            <w:shd w:val="clear" w:color="auto" w:fill="FFFFFF" w:themeFill="background1"/>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468" w:type="pct"/>
            <w:vMerge w:val="restart"/>
            <w:shd w:val="clear" w:color="auto" w:fill="FFFFFF" w:themeFill="background1"/>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630" w:type="pct"/>
            <w:vMerge w:val="restart"/>
            <w:shd w:val="clear" w:color="auto" w:fill="FFFFFF" w:themeFill="background1"/>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516" w:type="pct"/>
            <w:vMerge w:val="restart"/>
            <w:shd w:val="clear" w:color="auto" w:fill="FFFFFF" w:themeFill="background1"/>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578" w:type="pct"/>
            <w:vMerge w:val="restart"/>
            <w:shd w:val="clear" w:color="auto" w:fill="FFFFFF" w:themeFill="background1"/>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597" w:type="pct"/>
            <w:vMerge w:val="restart"/>
            <w:shd w:val="clear" w:color="auto" w:fill="FFFFFF" w:themeFill="background1"/>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链接地址</w:t>
            </w:r>
          </w:p>
        </w:tc>
        <w:tc>
          <w:tcPr>
            <w:tcW w:w="267" w:type="pct"/>
            <w:gridSpan w:val="2"/>
            <w:shd w:val="clear" w:color="auto" w:fill="FFFFFF" w:themeFill="background1"/>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263" w:type="pct"/>
            <w:gridSpan w:val="2"/>
            <w:shd w:val="clear" w:color="auto" w:fill="FFFFFF" w:themeFill="background1"/>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257" w:type="pct"/>
            <w:gridSpan w:val="2"/>
            <w:shd w:val="clear" w:color="auto" w:fill="FFFFFF" w:themeFill="background1"/>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62" w:type="pct"/>
            <w:vMerge w:val="continue"/>
            <w:shd w:val="clear" w:color="auto" w:fill="FFFFFF" w:themeFill="background1"/>
            <w:noWrap w:val="0"/>
            <w:vAlign w:val="center"/>
          </w:tcPr>
          <w:p>
            <w:pPr>
              <w:widowControl/>
              <w:jc w:val="left"/>
              <w:rPr>
                <w:rFonts w:ascii="Times New Roman" w:hAnsi="Times New Roman"/>
                <w:color w:val="000000"/>
                <w:kern w:val="0"/>
                <w:sz w:val="22"/>
              </w:rPr>
            </w:pPr>
          </w:p>
        </w:tc>
        <w:tc>
          <w:tcPr>
            <w:tcW w:w="222" w:type="pct"/>
            <w:shd w:val="clear" w:color="auto" w:fill="FFFFFF" w:themeFill="background1"/>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222" w:type="pct"/>
            <w:shd w:val="clear" w:color="auto" w:fill="FFFFFF" w:themeFill="background1"/>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813" w:type="pct"/>
            <w:vMerge w:val="continue"/>
            <w:shd w:val="clear" w:color="auto" w:fill="FFFFFF" w:themeFill="background1"/>
            <w:noWrap w:val="0"/>
            <w:vAlign w:val="center"/>
          </w:tcPr>
          <w:p>
            <w:pPr>
              <w:widowControl/>
              <w:jc w:val="left"/>
              <w:rPr>
                <w:rFonts w:ascii="黑体" w:hAnsi="宋体" w:eastAsia="黑体" w:cs="宋体"/>
                <w:color w:val="000000"/>
                <w:kern w:val="0"/>
                <w:sz w:val="22"/>
              </w:rPr>
            </w:pPr>
          </w:p>
        </w:tc>
        <w:tc>
          <w:tcPr>
            <w:tcW w:w="468" w:type="pct"/>
            <w:vMerge w:val="continue"/>
            <w:shd w:val="clear" w:color="auto" w:fill="FFFFFF" w:themeFill="background1"/>
            <w:noWrap w:val="0"/>
            <w:vAlign w:val="center"/>
          </w:tcPr>
          <w:p>
            <w:pPr>
              <w:widowControl/>
              <w:jc w:val="left"/>
              <w:rPr>
                <w:rFonts w:ascii="黑体" w:hAnsi="宋体" w:eastAsia="黑体" w:cs="宋体"/>
                <w:color w:val="000000"/>
                <w:kern w:val="0"/>
                <w:sz w:val="22"/>
              </w:rPr>
            </w:pPr>
          </w:p>
        </w:tc>
        <w:tc>
          <w:tcPr>
            <w:tcW w:w="630" w:type="pct"/>
            <w:vMerge w:val="continue"/>
            <w:shd w:val="clear" w:color="auto" w:fill="FFFFFF" w:themeFill="background1"/>
            <w:noWrap w:val="0"/>
            <w:vAlign w:val="center"/>
          </w:tcPr>
          <w:p>
            <w:pPr>
              <w:widowControl/>
              <w:jc w:val="left"/>
              <w:rPr>
                <w:rFonts w:ascii="黑体" w:hAnsi="宋体" w:eastAsia="黑体" w:cs="宋体"/>
                <w:color w:val="000000"/>
                <w:kern w:val="0"/>
                <w:sz w:val="22"/>
              </w:rPr>
            </w:pPr>
          </w:p>
        </w:tc>
        <w:tc>
          <w:tcPr>
            <w:tcW w:w="516" w:type="pct"/>
            <w:vMerge w:val="continue"/>
            <w:shd w:val="clear" w:color="auto" w:fill="FFFFFF" w:themeFill="background1"/>
            <w:noWrap w:val="0"/>
            <w:vAlign w:val="center"/>
          </w:tcPr>
          <w:p>
            <w:pPr>
              <w:widowControl/>
              <w:jc w:val="left"/>
              <w:rPr>
                <w:rFonts w:ascii="黑体" w:hAnsi="宋体" w:eastAsia="黑体" w:cs="宋体"/>
                <w:color w:val="000000"/>
                <w:kern w:val="0"/>
                <w:sz w:val="22"/>
              </w:rPr>
            </w:pPr>
          </w:p>
        </w:tc>
        <w:tc>
          <w:tcPr>
            <w:tcW w:w="578" w:type="pct"/>
            <w:vMerge w:val="continue"/>
            <w:shd w:val="clear" w:color="auto" w:fill="FFFFFF" w:themeFill="background1"/>
            <w:noWrap w:val="0"/>
            <w:vAlign w:val="center"/>
          </w:tcPr>
          <w:p>
            <w:pPr>
              <w:widowControl/>
              <w:jc w:val="left"/>
              <w:rPr>
                <w:rFonts w:ascii="黑体" w:hAnsi="宋体" w:eastAsia="黑体" w:cs="宋体"/>
                <w:kern w:val="0"/>
                <w:sz w:val="22"/>
              </w:rPr>
            </w:pPr>
          </w:p>
        </w:tc>
        <w:tc>
          <w:tcPr>
            <w:tcW w:w="597" w:type="pct"/>
            <w:vMerge w:val="continue"/>
            <w:shd w:val="clear" w:color="auto" w:fill="FFFFFF" w:themeFill="background1"/>
            <w:noWrap w:val="0"/>
            <w:vAlign w:val="top"/>
          </w:tcPr>
          <w:p>
            <w:pPr>
              <w:widowControl/>
              <w:jc w:val="center"/>
              <w:rPr>
                <w:rFonts w:hint="eastAsia" w:ascii="黑体" w:hAnsi="宋体" w:eastAsia="黑体" w:cs="宋体"/>
                <w:color w:val="000000"/>
                <w:kern w:val="0"/>
                <w:sz w:val="22"/>
              </w:rPr>
            </w:pPr>
          </w:p>
        </w:tc>
        <w:tc>
          <w:tcPr>
            <w:tcW w:w="133" w:type="pct"/>
            <w:shd w:val="clear" w:color="auto" w:fill="FFFFFF" w:themeFill="background1"/>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133" w:type="pct"/>
            <w:shd w:val="clear" w:color="auto" w:fill="FFFFFF" w:themeFill="background1"/>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129" w:type="pct"/>
            <w:shd w:val="clear" w:color="auto" w:fill="FFFFFF" w:themeFill="background1"/>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133" w:type="pct"/>
            <w:shd w:val="clear" w:color="auto" w:fill="FFFFFF" w:themeFill="background1"/>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133" w:type="pct"/>
            <w:shd w:val="clear" w:color="auto" w:fill="FFFFFF" w:themeFill="background1"/>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123" w:type="pct"/>
            <w:shd w:val="clear" w:color="auto" w:fill="FFFFFF" w:themeFill="background1"/>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1836" w:hRule="atLeast"/>
          <w:jc w:val="center"/>
        </w:trPr>
        <w:tc>
          <w:tcPr>
            <w:tcW w:w="162" w:type="pct"/>
            <w:vMerge w:val="restart"/>
            <w:shd w:val="clear" w:color="auto" w:fill="FFFFFF" w:themeFill="background1"/>
            <w:noWrap w:val="0"/>
            <w:vAlign w:val="center"/>
          </w:tcPr>
          <w:p>
            <w:pPr>
              <w:widowControl/>
              <w:jc w:val="center"/>
              <w:rPr>
                <w:rFonts w:hint="eastAsia" w:ascii="仿宋_GB2312" w:eastAsia="仿宋_GB2312"/>
                <w:color w:val="000000"/>
                <w:sz w:val="18"/>
                <w:szCs w:val="18"/>
                <w:lang w:val="en-US" w:eastAsia="zh-CN"/>
              </w:rPr>
            </w:pPr>
            <w:r>
              <w:rPr>
                <w:rFonts w:hint="eastAsia" w:ascii="仿宋_GB2312" w:eastAsia="仿宋_GB2312"/>
                <w:color w:val="000000"/>
                <w:sz w:val="18"/>
                <w:szCs w:val="18"/>
                <w:lang w:val="en-US" w:eastAsia="zh-CN"/>
              </w:rPr>
              <w:t>1</w:t>
            </w:r>
          </w:p>
        </w:tc>
        <w:tc>
          <w:tcPr>
            <w:tcW w:w="222" w:type="pct"/>
            <w:vMerge w:val="restart"/>
            <w:shd w:val="clear" w:color="auto" w:fill="FFFFFF" w:themeFill="background1"/>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征地前期准备</w:t>
            </w:r>
          </w:p>
        </w:tc>
        <w:tc>
          <w:tcPr>
            <w:tcW w:w="222" w:type="pct"/>
            <w:vMerge w:val="restart"/>
            <w:shd w:val="clear" w:color="auto" w:fill="FFFFFF" w:themeFill="background1"/>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拟征收土地告知</w:t>
            </w:r>
          </w:p>
        </w:tc>
        <w:tc>
          <w:tcPr>
            <w:tcW w:w="813" w:type="pct"/>
            <w:vMerge w:val="restart"/>
            <w:shd w:val="clear" w:color="auto" w:fill="FFFFFF" w:themeFill="background1"/>
            <w:noWrap w:val="0"/>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468" w:type="pct"/>
            <w:vMerge w:val="restart"/>
            <w:shd w:val="clear" w:color="auto" w:fill="FFFFFF" w:themeFill="background1"/>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《国务院关于深化改革严格土地管理的决定》</w:t>
            </w:r>
          </w:p>
        </w:tc>
        <w:tc>
          <w:tcPr>
            <w:tcW w:w="630" w:type="pct"/>
            <w:shd w:val="clear" w:color="auto" w:fill="FFFFFF" w:themeFill="background1"/>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在实地启动拟征收土地工作时，在村公示栏公开。</w:t>
            </w:r>
          </w:p>
          <w:p>
            <w:pPr>
              <w:spacing w:line="240" w:lineRule="exact"/>
              <w:rPr>
                <w:rFonts w:hint="eastAsia" w:ascii="仿宋_GB2312" w:eastAsia="仿宋_GB2312"/>
                <w:color w:val="000000"/>
                <w:sz w:val="18"/>
                <w:szCs w:val="18"/>
              </w:rPr>
            </w:pPr>
          </w:p>
        </w:tc>
        <w:tc>
          <w:tcPr>
            <w:tcW w:w="516" w:type="pct"/>
            <w:vMerge w:val="restart"/>
            <w:shd w:val="clear" w:color="auto" w:fill="FFFFFF" w:themeFill="background1"/>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lang w:eastAsia="zh-CN"/>
              </w:rPr>
              <w:t>长春市规自局汽开分局</w:t>
            </w:r>
          </w:p>
        </w:tc>
        <w:tc>
          <w:tcPr>
            <w:tcW w:w="578" w:type="pct"/>
            <w:vMerge w:val="restart"/>
            <w:shd w:val="clear" w:color="auto" w:fill="FFFFFF" w:themeFill="background1"/>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■村公示栏（电子屏）</w:t>
            </w:r>
          </w:p>
          <w:p>
            <w:pPr>
              <w:widowControl/>
              <w:spacing w:line="240" w:lineRule="exact"/>
              <w:rPr>
                <w:rFonts w:hint="eastAsia" w:ascii="仿宋_GB2312" w:eastAsia="仿宋_GB2312"/>
                <w:color w:val="000000"/>
                <w:sz w:val="18"/>
                <w:szCs w:val="18"/>
              </w:rPr>
            </w:pPr>
          </w:p>
        </w:tc>
        <w:tc>
          <w:tcPr>
            <w:tcW w:w="597" w:type="pct"/>
            <w:shd w:val="clear" w:color="auto" w:fill="FFFFFF" w:themeFill="background1"/>
            <w:noWrap w:val="0"/>
            <w:vAlign w:val="top"/>
          </w:tcPr>
          <w:p>
            <w:pPr>
              <w:widowControl/>
              <w:spacing w:line="240" w:lineRule="exact"/>
              <w:jc w:val="center"/>
              <w:rPr>
                <w:rFonts w:hint="eastAsia" w:ascii="仿宋_GB2312" w:eastAsia="仿宋_GB2312"/>
                <w:color w:val="000000"/>
                <w:sz w:val="18"/>
                <w:szCs w:val="18"/>
              </w:rPr>
            </w:pPr>
          </w:p>
        </w:tc>
        <w:tc>
          <w:tcPr>
            <w:tcW w:w="133" w:type="pct"/>
            <w:shd w:val="clear" w:color="auto" w:fill="FFFFFF" w:themeFill="background1"/>
            <w:noWrap w:val="0"/>
            <w:vAlign w:val="center"/>
          </w:tcPr>
          <w:p>
            <w:pPr>
              <w:widowControl/>
              <w:spacing w:line="240" w:lineRule="exact"/>
              <w:jc w:val="center"/>
              <w:rPr>
                <w:rFonts w:hint="eastAsia" w:ascii="仿宋_GB2312" w:eastAsia="仿宋_GB2312"/>
                <w:color w:val="000000"/>
                <w:sz w:val="18"/>
                <w:szCs w:val="18"/>
              </w:rPr>
            </w:pPr>
          </w:p>
        </w:tc>
        <w:tc>
          <w:tcPr>
            <w:tcW w:w="133" w:type="pct"/>
            <w:shd w:val="clear" w:color="auto" w:fill="FFFFFF" w:themeFill="background1"/>
            <w:noWrap w:val="0"/>
            <w:vAlign w:val="center"/>
          </w:tcPr>
          <w:p>
            <w:pPr>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129" w:type="pct"/>
            <w:vMerge w:val="restart"/>
            <w:shd w:val="clear" w:color="auto" w:fill="FFFFFF" w:themeFill="background1"/>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133" w:type="pct"/>
            <w:vMerge w:val="restart"/>
            <w:shd w:val="clear" w:color="auto" w:fill="FFFFFF" w:themeFill="background1"/>
            <w:noWrap w:val="0"/>
            <w:vAlign w:val="center"/>
          </w:tcPr>
          <w:p>
            <w:pPr>
              <w:widowControl/>
              <w:spacing w:line="240" w:lineRule="exact"/>
              <w:jc w:val="center"/>
              <w:rPr>
                <w:rFonts w:hint="eastAsia" w:ascii="仿宋_GB2312" w:eastAsia="仿宋_GB2312"/>
                <w:color w:val="000000"/>
                <w:sz w:val="18"/>
                <w:szCs w:val="18"/>
              </w:rPr>
            </w:pPr>
          </w:p>
        </w:tc>
        <w:tc>
          <w:tcPr>
            <w:tcW w:w="133" w:type="pct"/>
            <w:vMerge w:val="restart"/>
            <w:shd w:val="clear" w:color="auto" w:fill="FFFFFF" w:themeFill="background1"/>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123" w:type="pct"/>
            <w:vMerge w:val="restart"/>
            <w:shd w:val="clear" w:color="auto" w:fill="FFFFFF" w:themeFill="background1"/>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62" w:type="pct"/>
            <w:vMerge w:val="continue"/>
            <w:shd w:val="clear" w:color="auto" w:fill="FFFFFF" w:themeFill="background1"/>
            <w:noWrap w:val="0"/>
            <w:vAlign w:val="center"/>
          </w:tcPr>
          <w:p>
            <w:pPr>
              <w:widowControl/>
              <w:jc w:val="center"/>
              <w:rPr>
                <w:rFonts w:ascii="仿宋_GB2312" w:eastAsia="仿宋_GB2312"/>
                <w:color w:val="000000"/>
                <w:sz w:val="18"/>
                <w:szCs w:val="18"/>
              </w:rPr>
            </w:pPr>
          </w:p>
        </w:tc>
        <w:tc>
          <w:tcPr>
            <w:tcW w:w="222" w:type="pct"/>
            <w:vMerge w:val="continue"/>
            <w:shd w:val="clear" w:color="auto" w:fill="FFFFFF" w:themeFill="background1"/>
            <w:noWrap w:val="0"/>
            <w:vAlign w:val="center"/>
          </w:tcPr>
          <w:p>
            <w:pPr>
              <w:widowControl/>
              <w:jc w:val="center"/>
              <w:rPr>
                <w:rFonts w:hint="eastAsia" w:ascii="仿宋_GB2312" w:eastAsia="仿宋_GB2312"/>
                <w:color w:val="000000"/>
                <w:sz w:val="18"/>
                <w:szCs w:val="18"/>
              </w:rPr>
            </w:pPr>
          </w:p>
        </w:tc>
        <w:tc>
          <w:tcPr>
            <w:tcW w:w="222" w:type="pct"/>
            <w:vMerge w:val="continue"/>
            <w:shd w:val="clear" w:color="auto" w:fill="FFFFFF" w:themeFill="background1"/>
            <w:noWrap w:val="0"/>
            <w:vAlign w:val="center"/>
          </w:tcPr>
          <w:p>
            <w:pPr>
              <w:widowControl/>
              <w:spacing w:line="320" w:lineRule="exact"/>
              <w:jc w:val="center"/>
              <w:rPr>
                <w:rFonts w:hint="eastAsia" w:ascii="仿宋_GB2312" w:eastAsia="仿宋_GB2312"/>
                <w:color w:val="000000"/>
                <w:sz w:val="18"/>
                <w:szCs w:val="18"/>
              </w:rPr>
            </w:pPr>
          </w:p>
        </w:tc>
        <w:tc>
          <w:tcPr>
            <w:tcW w:w="813" w:type="pct"/>
            <w:vMerge w:val="continue"/>
            <w:shd w:val="clear" w:color="auto" w:fill="FFFFFF" w:themeFill="background1"/>
            <w:noWrap w:val="0"/>
            <w:vAlign w:val="center"/>
          </w:tcPr>
          <w:p>
            <w:pPr>
              <w:widowControl/>
              <w:jc w:val="left"/>
              <w:rPr>
                <w:rFonts w:hint="eastAsia" w:ascii="仿宋_GB2312" w:eastAsia="仿宋_GB2312"/>
                <w:color w:val="000000"/>
                <w:sz w:val="18"/>
                <w:szCs w:val="18"/>
              </w:rPr>
            </w:pPr>
          </w:p>
        </w:tc>
        <w:tc>
          <w:tcPr>
            <w:tcW w:w="468" w:type="pct"/>
            <w:vMerge w:val="continue"/>
            <w:shd w:val="clear" w:color="auto" w:fill="FFFFFF" w:themeFill="background1"/>
            <w:noWrap w:val="0"/>
            <w:vAlign w:val="center"/>
          </w:tcPr>
          <w:p>
            <w:pPr>
              <w:widowControl/>
              <w:rPr>
                <w:rFonts w:hint="eastAsia" w:ascii="仿宋_GB2312" w:eastAsia="仿宋_GB2312"/>
                <w:color w:val="000000"/>
                <w:sz w:val="18"/>
                <w:szCs w:val="18"/>
              </w:rPr>
            </w:pPr>
          </w:p>
        </w:tc>
        <w:tc>
          <w:tcPr>
            <w:tcW w:w="630" w:type="pct"/>
            <w:shd w:val="clear" w:color="auto" w:fill="FFFFFF" w:themeFill="background1"/>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516" w:type="pct"/>
            <w:vMerge w:val="continue"/>
            <w:shd w:val="clear" w:color="auto" w:fill="FFFFFF" w:themeFill="background1"/>
            <w:noWrap w:val="0"/>
            <w:vAlign w:val="center"/>
          </w:tcPr>
          <w:p>
            <w:pPr>
              <w:widowControl/>
              <w:rPr>
                <w:rFonts w:hint="eastAsia" w:ascii="仿宋_GB2312" w:eastAsia="仿宋_GB2312"/>
                <w:color w:val="000000"/>
                <w:sz w:val="18"/>
                <w:szCs w:val="18"/>
              </w:rPr>
            </w:pPr>
          </w:p>
        </w:tc>
        <w:tc>
          <w:tcPr>
            <w:tcW w:w="578" w:type="pct"/>
            <w:vMerge w:val="continue"/>
            <w:shd w:val="clear" w:color="auto" w:fill="FFFFFF" w:themeFill="background1"/>
            <w:noWrap w:val="0"/>
            <w:vAlign w:val="center"/>
          </w:tcPr>
          <w:p>
            <w:pPr>
              <w:widowControl/>
              <w:rPr>
                <w:rFonts w:hint="eastAsia" w:ascii="仿宋_GB2312" w:eastAsia="仿宋_GB2312"/>
                <w:color w:val="000000"/>
                <w:sz w:val="18"/>
                <w:szCs w:val="18"/>
              </w:rPr>
            </w:pPr>
          </w:p>
        </w:tc>
        <w:tc>
          <w:tcPr>
            <w:tcW w:w="597" w:type="pct"/>
            <w:shd w:val="clear" w:color="auto" w:fill="FFFFFF" w:themeFill="background1"/>
            <w:noWrap w:val="0"/>
            <w:vAlign w:val="top"/>
          </w:tcPr>
          <w:p>
            <w:pPr>
              <w:widowControl/>
              <w:jc w:val="center"/>
              <w:rPr>
                <w:rFonts w:hint="eastAsia" w:ascii="仿宋_GB2312" w:eastAsia="仿宋_GB2312"/>
                <w:color w:val="000000"/>
                <w:sz w:val="18"/>
                <w:szCs w:val="18"/>
              </w:rPr>
            </w:pPr>
          </w:p>
        </w:tc>
        <w:tc>
          <w:tcPr>
            <w:tcW w:w="133" w:type="pct"/>
            <w:shd w:val="clear" w:color="auto" w:fill="FFFFFF" w:themeFill="background1"/>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133" w:type="pct"/>
            <w:shd w:val="clear" w:color="auto" w:fill="FFFFFF" w:themeFill="background1"/>
            <w:noWrap w:val="0"/>
            <w:vAlign w:val="center"/>
          </w:tcPr>
          <w:p>
            <w:pPr>
              <w:jc w:val="center"/>
              <w:rPr>
                <w:rFonts w:hint="eastAsia" w:ascii="仿宋_GB2312" w:eastAsia="仿宋_GB2312"/>
                <w:color w:val="000000"/>
                <w:sz w:val="18"/>
                <w:szCs w:val="18"/>
              </w:rPr>
            </w:pPr>
          </w:p>
        </w:tc>
        <w:tc>
          <w:tcPr>
            <w:tcW w:w="129" w:type="pct"/>
            <w:vMerge w:val="continue"/>
            <w:shd w:val="clear" w:color="auto" w:fill="FFFFFF" w:themeFill="background1"/>
            <w:noWrap w:val="0"/>
            <w:vAlign w:val="center"/>
          </w:tcPr>
          <w:p>
            <w:pPr>
              <w:widowControl/>
              <w:spacing w:line="240" w:lineRule="exact"/>
              <w:jc w:val="center"/>
              <w:rPr>
                <w:rFonts w:hint="eastAsia" w:ascii="仿宋_GB2312" w:eastAsia="仿宋_GB2312"/>
                <w:color w:val="000000"/>
                <w:sz w:val="18"/>
                <w:szCs w:val="18"/>
              </w:rPr>
            </w:pPr>
          </w:p>
        </w:tc>
        <w:tc>
          <w:tcPr>
            <w:tcW w:w="133" w:type="pct"/>
            <w:vMerge w:val="continue"/>
            <w:shd w:val="clear" w:color="auto" w:fill="FFFFFF" w:themeFill="background1"/>
            <w:noWrap w:val="0"/>
            <w:vAlign w:val="center"/>
          </w:tcPr>
          <w:p>
            <w:pPr>
              <w:widowControl/>
              <w:spacing w:line="240" w:lineRule="exact"/>
              <w:jc w:val="center"/>
              <w:rPr>
                <w:rFonts w:hint="eastAsia" w:ascii="仿宋_GB2312" w:eastAsia="仿宋_GB2312"/>
                <w:color w:val="000000"/>
                <w:sz w:val="18"/>
                <w:szCs w:val="18"/>
              </w:rPr>
            </w:pPr>
          </w:p>
        </w:tc>
        <w:tc>
          <w:tcPr>
            <w:tcW w:w="133" w:type="pct"/>
            <w:vMerge w:val="continue"/>
            <w:shd w:val="clear" w:color="auto" w:fill="FFFFFF" w:themeFill="background1"/>
            <w:noWrap w:val="0"/>
            <w:vAlign w:val="center"/>
          </w:tcPr>
          <w:p>
            <w:pPr>
              <w:widowControl/>
              <w:spacing w:line="240" w:lineRule="exact"/>
              <w:jc w:val="center"/>
              <w:rPr>
                <w:rFonts w:hint="eastAsia" w:ascii="仿宋_GB2312" w:eastAsia="仿宋_GB2312"/>
                <w:color w:val="000000"/>
                <w:sz w:val="18"/>
                <w:szCs w:val="18"/>
              </w:rPr>
            </w:pPr>
          </w:p>
        </w:tc>
        <w:tc>
          <w:tcPr>
            <w:tcW w:w="123" w:type="pct"/>
            <w:vMerge w:val="continue"/>
            <w:shd w:val="clear" w:color="auto" w:fill="FFFFFF" w:themeFill="background1"/>
            <w:noWrap w:val="0"/>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62" w:type="pct"/>
            <w:vMerge w:val="restart"/>
            <w:shd w:val="clear" w:color="auto" w:fill="FFFFFF" w:themeFill="background1"/>
            <w:noWrap w:val="0"/>
            <w:vAlign w:val="center"/>
          </w:tcPr>
          <w:p>
            <w:pPr>
              <w:widowControl/>
              <w:jc w:val="center"/>
              <w:rPr>
                <w:rFonts w:hint="eastAsia" w:ascii="仿宋_GB2312" w:eastAsia="仿宋_GB2312"/>
                <w:color w:val="000000"/>
                <w:sz w:val="18"/>
                <w:szCs w:val="18"/>
                <w:lang w:val="en-US" w:eastAsia="zh-CN"/>
              </w:rPr>
            </w:pPr>
            <w:r>
              <w:rPr>
                <w:rFonts w:hint="eastAsia" w:ascii="仿宋_GB2312" w:eastAsia="仿宋_GB2312"/>
                <w:color w:val="000000"/>
                <w:sz w:val="18"/>
                <w:szCs w:val="18"/>
                <w:lang w:val="en-US" w:eastAsia="zh-CN"/>
              </w:rPr>
              <w:t>2</w:t>
            </w:r>
          </w:p>
        </w:tc>
        <w:tc>
          <w:tcPr>
            <w:tcW w:w="222" w:type="pct"/>
            <w:vMerge w:val="restart"/>
            <w:shd w:val="clear" w:color="auto" w:fill="FFFFFF" w:themeFill="background1"/>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征地前期准备</w:t>
            </w:r>
          </w:p>
        </w:tc>
        <w:tc>
          <w:tcPr>
            <w:tcW w:w="222" w:type="pct"/>
            <w:vMerge w:val="restart"/>
            <w:shd w:val="clear" w:color="auto" w:fill="FFFFFF" w:themeFill="background1"/>
            <w:noWrap w:val="0"/>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拟征收土地现状调查</w:t>
            </w:r>
          </w:p>
        </w:tc>
        <w:tc>
          <w:tcPr>
            <w:tcW w:w="813" w:type="pct"/>
            <w:vMerge w:val="restart"/>
            <w:shd w:val="clear" w:color="auto" w:fill="FFFFFF" w:themeFill="background1"/>
            <w:noWrap w:val="0"/>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拟征收土地现状调查结果按规定确认后，调查结果予以公开。</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1.征收土地勘测调查表；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2.地上附着物和青苗调查登记表；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〔*土地勘测定界图件（涉及国家秘密的项目除外；图件应按有关法律法规规定予以技术处理）〕。</w:t>
            </w:r>
          </w:p>
          <w:p>
            <w:pPr>
              <w:widowControl/>
              <w:rPr>
                <w:rFonts w:ascii="仿宋_GB2312" w:eastAsia="仿宋_GB2312"/>
                <w:color w:val="000000"/>
                <w:sz w:val="18"/>
                <w:szCs w:val="18"/>
              </w:rPr>
            </w:pPr>
          </w:p>
        </w:tc>
        <w:tc>
          <w:tcPr>
            <w:tcW w:w="468" w:type="pct"/>
            <w:vMerge w:val="restart"/>
            <w:shd w:val="clear" w:color="auto" w:fill="FFFFFF" w:themeFill="background1"/>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《土地管理法》、《国务院关于深化改革严格土地管理的决定》</w:t>
            </w:r>
          </w:p>
        </w:tc>
        <w:tc>
          <w:tcPr>
            <w:tcW w:w="630" w:type="pct"/>
            <w:shd w:val="clear" w:color="auto" w:fill="FFFFFF" w:themeFill="background1"/>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拟征收土地现状调查结束后5个工作日内，在村公示栏公开。</w:t>
            </w:r>
          </w:p>
        </w:tc>
        <w:tc>
          <w:tcPr>
            <w:tcW w:w="516" w:type="pct"/>
            <w:vMerge w:val="restart"/>
            <w:shd w:val="clear" w:color="auto" w:fill="FFFFFF" w:themeFill="background1"/>
            <w:noWrap w:val="0"/>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highlight w:val="none"/>
                <w:lang w:eastAsia="zh-CN"/>
              </w:rPr>
              <w:t>长春市规自局汽开分局</w:t>
            </w:r>
          </w:p>
        </w:tc>
        <w:tc>
          <w:tcPr>
            <w:tcW w:w="578" w:type="pct"/>
            <w:vMerge w:val="restart"/>
            <w:shd w:val="clear" w:color="auto" w:fill="FFFFFF" w:themeFill="background1"/>
            <w:noWrap w:val="0"/>
            <w:vAlign w:val="center"/>
          </w:tcPr>
          <w:p>
            <w:pPr>
              <w:widowControl/>
              <w:rPr>
                <w:rFonts w:hint="eastAsia" w:ascii="仿宋_GB2312" w:eastAsia="仿宋_GB2312"/>
                <w:color w:val="000000"/>
                <w:sz w:val="18"/>
                <w:szCs w:val="18"/>
                <w:highlight w:val="none"/>
              </w:rPr>
            </w:pPr>
            <w:r>
              <w:rPr>
                <w:rFonts w:hint="eastAsia" w:ascii="仿宋_GB2312" w:eastAsia="仿宋_GB2312"/>
                <w:color w:val="000000"/>
                <w:sz w:val="18"/>
                <w:szCs w:val="18"/>
                <w:highlight w:val="none"/>
              </w:rPr>
              <w:t>■村公示栏（电子屏）</w:t>
            </w:r>
          </w:p>
          <w:p>
            <w:pPr>
              <w:widowControl/>
              <w:rPr>
                <w:rFonts w:ascii="仿宋_GB2312" w:eastAsia="仿宋_GB2312"/>
                <w:color w:val="000000"/>
                <w:sz w:val="18"/>
                <w:szCs w:val="18"/>
              </w:rPr>
            </w:pPr>
          </w:p>
        </w:tc>
        <w:tc>
          <w:tcPr>
            <w:tcW w:w="597" w:type="pct"/>
            <w:shd w:val="clear" w:color="auto" w:fill="FFFFFF" w:themeFill="background1"/>
            <w:noWrap w:val="0"/>
            <w:vAlign w:val="top"/>
          </w:tcPr>
          <w:p>
            <w:pPr>
              <w:widowControl/>
              <w:jc w:val="center"/>
              <w:rPr>
                <w:rFonts w:ascii="仿宋_GB2312" w:eastAsia="仿宋_GB2312"/>
                <w:color w:val="000000"/>
                <w:sz w:val="18"/>
                <w:szCs w:val="18"/>
              </w:rPr>
            </w:pPr>
          </w:p>
        </w:tc>
        <w:tc>
          <w:tcPr>
            <w:tcW w:w="133" w:type="pct"/>
            <w:shd w:val="clear" w:color="auto" w:fill="FFFFFF" w:themeFill="background1"/>
            <w:noWrap w:val="0"/>
            <w:vAlign w:val="center"/>
          </w:tcPr>
          <w:p>
            <w:pPr>
              <w:widowControl/>
              <w:jc w:val="center"/>
              <w:rPr>
                <w:rFonts w:ascii="仿宋_GB2312" w:eastAsia="仿宋_GB2312"/>
                <w:color w:val="000000"/>
                <w:sz w:val="18"/>
                <w:szCs w:val="18"/>
              </w:rPr>
            </w:pPr>
          </w:p>
        </w:tc>
        <w:tc>
          <w:tcPr>
            <w:tcW w:w="133" w:type="pct"/>
            <w:shd w:val="clear" w:color="auto" w:fill="FFFFFF" w:themeFill="background1"/>
            <w:noWrap w:val="0"/>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129" w:type="pct"/>
            <w:vMerge w:val="restart"/>
            <w:shd w:val="clear" w:color="auto" w:fill="FFFFFF" w:themeFill="background1"/>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133" w:type="pct"/>
            <w:vMerge w:val="restart"/>
            <w:shd w:val="clear" w:color="auto" w:fill="FFFFFF" w:themeFill="background1"/>
            <w:noWrap w:val="0"/>
            <w:vAlign w:val="center"/>
          </w:tcPr>
          <w:p>
            <w:pPr>
              <w:widowControl/>
              <w:jc w:val="center"/>
              <w:rPr>
                <w:rFonts w:ascii="仿宋_GB2312" w:eastAsia="仿宋_GB2312"/>
                <w:color w:val="000000"/>
                <w:sz w:val="18"/>
                <w:szCs w:val="18"/>
              </w:rPr>
            </w:pPr>
          </w:p>
        </w:tc>
        <w:tc>
          <w:tcPr>
            <w:tcW w:w="133" w:type="pct"/>
            <w:vMerge w:val="restart"/>
            <w:shd w:val="clear" w:color="auto" w:fill="FFFFFF" w:themeFill="background1"/>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123" w:type="pct"/>
            <w:vMerge w:val="restart"/>
            <w:shd w:val="clear" w:color="auto" w:fill="FFFFFF" w:themeFill="background1"/>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62" w:type="pct"/>
            <w:vMerge w:val="continue"/>
            <w:shd w:val="clear" w:color="auto" w:fill="FFFFFF" w:themeFill="background1"/>
            <w:noWrap w:val="0"/>
            <w:vAlign w:val="center"/>
          </w:tcPr>
          <w:p>
            <w:pPr>
              <w:widowControl/>
              <w:jc w:val="center"/>
              <w:rPr>
                <w:rFonts w:ascii="仿宋_GB2312" w:eastAsia="仿宋_GB2312"/>
                <w:color w:val="000000"/>
                <w:sz w:val="18"/>
                <w:szCs w:val="18"/>
              </w:rPr>
            </w:pPr>
          </w:p>
        </w:tc>
        <w:tc>
          <w:tcPr>
            <w:tcW w:w="222" w:type="pct"/>
            <w:vMerge w:val="continue"/>
            <w:shd w:val="clear" w:color="auto" w:fill="FFFFFF" w:themeFill="background1"/>
            <w:noWrap w:val="0"/>
            <w:vAlign w:val="center"/>
          </w:tcPr>
          <w:p>
            <w:pPr>
              <w:widowControl/>
              <w:jc w:val="center"/>
              <w:rPr>
                <w:rFonts w:hint="eastAsia" w:ascii="仿宋_GB2312" w:eastAsia="仿宋_GB2312"/>
                <w:color w:val="000000"/>
                <w:sz w:val="18"/>
                <w:szCs w:val="18"/>
              </w:rPr>
            </w:pPr>
          </w:p>
        </w:tc>
        <w:tc>
          <w:tcPr>
            <w:tcW w:w="222" w:type="pct"/>
            <w:vMerge w:val="continue"/>
            <w:shd w:val="clear" w:color="auto" w:fill="FFFFFF" w:themeFill="background1"/>
            <w:noWrap w:val="0"/>
            <w:vAlign w:val="center"/>
          </w:tcPr>
          <w:p>
            <w:pPr>
              <w:widowControl/>
              <w:spacing w:line="320" w:lineRule="exact"/>
              <w:jc w:val="center"/>
              <w:rPr>
                <w:rFonts w:hint="eastAsia" w:ascii="仿宋_GB2312" w:eastAsia="仿宋_GB2312"/>
                <w:color w:val="000000"/>
                <w:sz w:val="18"/>
                <w:szCs w:val="18"/>
              </w:rPr>
            </w:pPr>
          </w:p>
        </w:tc>
        <w:tc>
          <w:tcPr>
            <w:tcW w:w="813" w:type="pct"/>
            <w:vMerge w:val="continue"/>
            <w:shd w:val="clear" w:color="auto" w:fill="FFFFFF" w:themeFill="background1"/>
            <w:noWrap w:val="0"/>
            <w:vAlign w:val="center"/>
          </w:tcPr>
          <w:p>
            <w:pPr>
              <w:rPr>
                <w:rFonts w:hint="eastAsia" w:ascii="仿宋_GB2312" w:eastAsia="仿宋_GB2312"/>
                <w:color w:val="000000"/>
                <w:sz w:val="18"/>
                <w:szCs w:val="18"/>
              </w:rPr>
            </w:pPr>
          </w:p>
        </w:tc>
        <w:tc>
          <w:tcPr>
            <w:tcW w:w="468" w:type="pct"/>
            <w:vMerge w:val="continue"/>
            <w:shd w:val="clear" w:color="auto" w:fill="FFFFFF" w:themeFill="background1"/>
            <w:noWrap w:val="0"/>
            <w:vAlign w:val="center"/>
          </w:tcPr>
          <w:p>
            <w:pPr>
              <w:widowControl/>
              <w:rPr>
                <w:rFonts w:ascii="仿宋_GB2312" w:eastAsia="仿宋_GB2312"/>
                <w:color w:val="000000"/>
                <w:sz w:val="18"/>
                <w:szCs w:val="18"/>
              </w:rPr>
            </w:pPr>
          </w:p>
        </w:tc>
        <w:tc>
          <w:tcPr>
            <w:tcW w:w="630" w:type="pct"/>
            <w:shd w:val="clear" w:color="auto" w:fill="FFFFFF" w:themeFill="background1"/>
            <w:noWrap w:val="0"/>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516" w:type="pct"/>
            <w:vMerge w:val="continue"/>
            <w:shd w:val="clear" w:color="auto" w:fill="FFFFFF" w:themeFill="background1"/>
            <w:noWrap w:val="0"/>
            <w:vAlign w:val="center"/>
          </w:tcPr>
          <w:p>
            <w:pPr>
              <w:widowControl/>
              <w:spacing w:line="320" w:lineRule="exact"/>
              <w:jc w:val="center"/>
              <w:rPr>
                <w:rFonts w:hint="eastAsia" w:ascii="仿宋_GB2312" w:eastAsia="仿宋_GB2312"/>
                <w:color w:val="000000"/>
                <w:sz w:val="18"/>
                <w:szCs w:val="18"/>
              </w:rPr>
            </w:pPr>
          </w:p>
        </w:tc>
        <w:tc>
          <w:tcPr>
            <w:tcW w:w="578" w:type="pct"/>
            <w:vMerge w:val="continue"/>
            <w:shd w:val="clear" w:color="auto" w:fill="FFFFFF" w:themeFill="background1"/>
            <w:noWrap w:val="0"/>
            <w:vAlign w:val="center"/>
          </w:tcPr>
          <w:p>
            <w:pPr>
              <w:widowControl/>
              <w:rPr>
                <w:rFonts w:hint="eastAsia" w:ascii="仿宋_GB2312" w:eastAsia="仿宋_GB2312"/>
                <w:color w:val="000000"/>
                <w:sz w:val="18"/>
                <w:szCs w:val="18"/>
              </w:rPr>
            </w:pPr>
          </w:p>
        </w:tc>
        <w:tc>
          <w:tcPr>
            <w:tcW w:w="597" w:type="pct"/>
            <w:shd w:val="clear" w:color="auto" w:fill="FFFFFF" w:themeFill="background1"/>
            <w:noWrap w:val="0"/>
            <w:vAlign w:val="top"/>
          </w:tcPr>
          <w:p>
            <w:pPr>
              <w:widowControl/>
              <w:jc w:val="center"/>
              <w:rPr>
                <w:rFonts w:hint="eastAsia" w:ascii="仿宋_GB2312" w:eastAsia="仿宋_GB2312"/>
                <w:color w:val="000000"/>
                <w:sz w:val="18"/>
                <w:szCs w:val="18"/>
              </w:rPr>
            </w:pPr>
          </w:p>
        </w:tc>
        <w:tc>
          <w:tcPr>
            <w:tcW w:w="133" w:type="pct"/>
            <w:shd w:val="clear" w:color="auto" w:fill="FFFFFF" w:themeFill="background1"/>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133" w:type="pct"/>
            <w:shd w:val="clear" w:color="auto" w:fill="FFFFFF" w:themeFill="background1"/>
            <w:noWrap w:val="0"/>
            <w:vAlign w:val="center"/>
          </w:tcPr>
          <w:p>
            <w:pPr>
              <w:jc w:val="center"/>
              <w:rPr>
                <w:rFonts w:hint="eastAsia" w:ascii="仿宋_GB2312" w:eastAsia="仿宋_GB2312"/>
                <w:color w:val="000000"/>
                <w:sz w:val="18"/>
                <w:szCs w:val="18"/>
              </w:rPr>
            </w:pPr>
          </w:p>
        </w:tc>
        <w:tc>
          <w:tcPr>
            <w:tcW w:w="129" w:type="pct"/>
            <w:vMerge w:val="continue"/>
            <w:shd w:val="clear" w:color="auto" w:fill="FFFFFF" w:themeFill="background1"/>
            <w:noWrap w:val="0"/>
            <w:vAlign w:val="center"/>
          </w:tcPr>
          <w:p>
            <w:pPr>
              <w:widowControl/>
              <w:jc w:val="center"/>
              <w:rPr>
                <w:rFonts w:hint="eastAsia" w:ascii="仿宋_GB2312" w:eastAsia="仿宋_GB2312"/>
                <w:color w:val="000000"/>
                <w:sz w:val="18"/>
                <w:szCs w:val="18"/>
              </w:rPr>
            </w:pPr>
          </w:p>
        </w:tc>
        <w:tc>
          <w:tcPr>
            <w:tcW w:w="133" w:type="pct"/>
            <w:vMerge w:val="continue"/>
            <w:shd w:val="clear" w:color="auto" w:fill="FFFFFF" w:themeFill="background1"/>
            <w:noWrap w:val="0"/>
            <w:vAlign w:val="center"/>
          </w:tcPr>
          <w:p>
            <w:pPr>
              <w:widowControl/>
              <w:jc w:val="center"/>
              <w:rPr>
                <w:rFonts w:ascii="仿宋_GB2312" w:eastAsia="仿宋_GB2312"/>
                <w:color w:val="000000"/>
                <w:sz w:val="18"/>
                <w:szCs w:val="18"/>
              </w:rPr>
            </w:pPr>
          </w:p>
        </w:tc>
        <w:tc>
          <w:tcPr>
            <w:tcW w:w="133" w:type="pct"/>
            <w:vMerge w:val="continue"/>
            <w:shd w:val="clear" w:color="auto" w:fill="FFFFFF" w:themeFill="background1"/>
            <w:noWrap w:val="0"/>
            <w:vAlign w:val="center"/>
          </w:tcPr>
          <w:p>
            <w:pPr>
              <w:widowControl/>
              <w:jc w:val="center"/>
              <w:rPr>
                <w:rFonts w:hint="eastAsia" w:ascii="仿宋_GB2312" w:eastAsia="仿宋_GB2312"/>
                <w:color w:val="000000"/>
                <w:sz w:val="18"/>
                <w:szCs w:val="18"/>
              </w:rPr>
            </w:pPr>
          </w:p>
        </w:tc>
        <w:tc>
          <w:tcPr>
            <w:tcW w:w="123" w:type="pct"/>
            <w:vMerge w:val="continue"/>
            <w:shd w:val="clear" w:color="auto" w:fill="FFFFFF" w:themeFill="background1"/>
            <w:noWrap w:val="0"/>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62" w:type="pct"/>
            <w:vMerge w:val="restart"/>
            <w:shd w:val="clear" w:color="auto" w:fill="FFFFFF" w:themeFill="background1"/>
            <w:noWrap w:val="0"/>
            <w:vAlign w:val="center"/>
          </w:tcPr>
          <w:p>
            <w:pPr>
              <w:widowControl/>
              <w:jc w:val="center"/>
              <w:rPr>
                <w:rFonts w:hint="eastAsia" w:ascii="仿宋_GB2312" w:eastAsia="仿宋_GB2312"/>
                <w:color w:val="000000"/>
                <w:sz w:val="18"/>
                <w:szCs w:val="18"/>
                <w:lang w:val="en-US" w:eastAsia="zh-CN"/>
              </w:rPr>
            </w:pPr>
            <w:r>
              <w:rPr>
                <w:rFonts w:hint="eastAsia" w:ascii="仿宋_GB2312" w:eastAsia="仿宋_GB2312"/>
                <w:color w:val="000000"/>
                <w:sz w:val="18"/>
                <w:szCs w:val="18"/>
                <w:lang w:val="en-US" w:eastAsia="zh-CN"/>
              </w:rPr>
              <w:t>3</w:t>
            </w:r>
          </w:p>
        </w:tc>
        <w:tc>
          <w:tcPr>
            <w:tcW w:w="222" w:type="pct"/>
            <w:vMerge w:val="restart"/>
            <w:shd w:val="clear" w:color="auto" w:fill="FFFFFF" w:themeFill="background1"/>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征地前期准备</w:t>
            </w:r>
          </w:p>
        </w:tc>
        <w:tc>
          <w:tcPr>
            <w:tcW w:w="222" w:type="pct"/>
            <w:vMerge w:val="restart"/>
            <w:shd w:val="clear" w:color="auto" w:fill="FFFFFF" w:themeFill="background1"/>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拟征地听证</w:t>
            </w:r>
          </w:p>
        </w:tc>
        <w:tc>
          <w:tcPr>
            <w:tcW w:w="813" w:type="pct"/>
            <w:vMerge w:val="restart"/>
            <w:shd w:val="clear" w:color="auto" w:fill="FFFFFF" w:themeFill="background1"/>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征地前期工作中依申请开展听证工作的，听证结果予以公开。按拟征收土地告知确定的时间制作《听证通知书》；按《听证通知书》规定的时间组织听证；实施听证的，公开听证相关材料。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w:t>
            </w:r>
          </w:p>
          <w:p>
            <w:pPr>
              <w:rPr>
                <w:rFonts w:hint="eastAsia" w:ascii="仿宋_GB2312" w:eastAsia="仿宋_GB2312"/>
                <w:color w:val="000000"/>
                <w:sz w:val="18"/>
                <w:szCs w:val="18"/>
              </w:rPr>
            </w:pPr>
            <w:r>
              <w:rPr>
                <w:rFonts w:hint="eastAsia" w:ascii="仿宋_GB2312" w:eastAsia="仿宋_GB2312"/>
                <w:color w:val="000000"/>
                <w:sz w:val="18"/>
                <w:szCs w:val="18"/>
              </w:rPr>
              <w:t>〔*听证笔录有关资料〕。</w:t>
            </w:r>
          </w:p>
        </w:tc>
        <w:tc>
          <w:tcPr>
            <w:tcW w:w="468" w:type="pct"/>
            <w:vMerge w:val="restart"/>
            <w:shd w:val="clear" w:color="auto" w:fill="FFFFFF" w:themeFill="background1"/>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630" w:type="pct"/>
            <w:shd w:val="clear" w:color="auto" w:fill="FFFFFF" w:themeFill="background1"/>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①《听证通知书》应在组织听证7个工作日前予以公开；②其他听证公开内容在拟征地听证工作结束后5个工作日内在村公示栏公开。</w:t>
            </w:r>
          </w:p>
        </w:tc>
        <w:tc>
          <w:tcPr>
            <w:tcW w:w="516" w:type="pct"/>
            <w:vMerge w:val="restart"/>
            <w:shd w:val="clear" w:color="auto" w:fill="FFFFFF" w:themeFill="background1"/>
            <w:noWrap w:val="0"/>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lang w:eastAsia="zh-CN"/>
              </w:rPr>
              <w:t>长春市规自局汽开分局</w:t>
            </w:r>
          </w:p>
        </w:tc>
        <w:tc>
          <w:tcPr>
            <w:tcW w:w="578" w:type="pct"/>
            <w:vMerge w:val="restart"/>
            <w:shd w:val="clear" w:color="auto" w:fill="FFFFFF" w:themeFill="background1"/>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■村公示栏（电子屏）</w:t>
            </w:r>
          </w:p>
          <w:p>
            <w:pPr>
              <w:widowControl/>
              <w:spacing w:line="240" w:lineRule="exact"/>
              <w:rPr>
                <w:rFonts w:ascii="仿宋_GB2312" w:eastAsia="仿宋_GB2312"/>
                <w:color w:val="000000"/>
                <w:sz w:val="18"/>
                <w:szCs w:val="18"/>
              </w:rPr>
            </w:pPr>
          </w:p>
        </w:tc>
        <w:tc>
          <w:tcPr>
            <w:tcW w:w="597" w:type="pct"/>
            <w:shd w:val="clear" w:color="auto" w:fill="FFFFFF" w:themeFill="background1"/>
            <w:noWrap w:val="0"/>
            <w:vAlign w:val="top"/>
          </w:tcPr>
          <w:p>
            <w:pPr>
              <w:widowControl/>
              <w:jc w:val="center"/>
              <w:rPr>
                <w:rFonts w:ascii="仿宋_GB2312" w:eastAsia="仿宋_GB2312"/>
                <w:color w:val="000000"/>
                <w:sz w:val="18"/>
                <w:szCs w:val="18"/>
              </w:rPr>
            </w:pPr>
          </w:p>
        </w:tc>
        <w:tc>
          <w:tcPr>
            <w:tcW w:w="133" w:type="pct"/>
            <w:shd w:val="clear" w:color="auto" w:fill="FFFFFF" w:themeFill="background1"/>
            <w:noWrap w:val="0"/>
            <w:vAlign w:val="center"/>
          </w:tcPr>
          <w:p>
            <w:pPr>
              <w:widowControl/>
              <w:jc w:val="center"/>
              <w:rPr>
                <w:rFonts w:ascii="仿宋_GB2312" w:eastAsia="仿宋_GB2312"/>
                <w:color w:val="000000"/>
                <w:sz w:val="18"/>
                <w:szCs w:val="18"/>
              </w:rPr>
            </w:pPr>
          </w:p>
        </w:tc>
        <w:tc>
          <w:tcPr>
            <w:tcW w:w="133" w:type="pct"/>
            <w:shd w:val="clear" w:color="auto" w:fill="FFFFFF" w:themeFill="background1"/>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129" w:type="pct"/>
            <w:vMerge w:val="restart"/>
            <w:shd w:val="clear" w:color="auto" w:fill="FFFFFF" w:themeFill="background1"/>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133" w:type="pct"/>
            <w:vMerge w:val="restart"/>
            <w:shd w:val="clear" w:color="auto" w:fill="FFFFFF" w:themeFill="background1"/>
            <w:noWrap w:val="0"/>
            <w:vAlign w:val="center"/>
          </w:tcPr>
          <w:p>
            <w:pPr>
              <w:widowControl/>
              <w:jc w:val="center"/>
              <w:rPr>
                <w:rFonts w:ascii="仿宋_GB2312" w:eastAsia="仿宋_GB2312"/>
                <w:color w:val="000000"/>
                <w:sz w:val="18"/>
                <w:szCs w:val="18"/>
              </w:rPr>
            </w:pPr>
          </w:p>
        </w:tc>
        <w:tc>
          <w:tcPr>
            <w:tcW w:w="133" w:type="pct"/>
            <w:vMerge w:val="restart"/>
            <w:shd w:val="clear" w:color="auto" w:fill="FFFFFF" w:themeFill="background1"/>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123" w:type="pct"/>
            <w:vMerge w:val="restart"/>
            <w:shd w:val="clear" w:color="auto" w:fill="FFFFFF" w:themeFill="background1"/>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62" w:type="pct"/>
            <w:vMerge w:val="continue"/>
            <w:shd w:val="clear" w:color="auto" w:fill="FFFFFF" w:themeFill="background1"/>
            <w:noWrap w:val="0"/>
            <w:vAlign w:val="center"/>
          </w:tcPr>
          <w:p>
            <w:pPr>
              <w:widowControl/>
              <w:jc w:val="center"/>
              <w:rPr>
                <w:rFonts w:ascii="仿宋_GB2312" w:eastAsia="仿宋_GB2312"/>
                <w:color w:val="000000"/>
                <w:sz w:val="18"/>
                <w:szCs w:val="18"/>
              </w:rPr>
            </w:pPr>
          </w:p>
        </w:tc>
        <w:tc>
          <w:tcPr>
            <w:tcW w:w="222" w:type="pct"/>
            <w:vMerge w:val="continue"/>
            <w:shd w:val="clear" w:color="auto" w:fill="FFFFFF" w:themeFill="background1"/>
            <w:noWrap w:val="0"/>
            <w:vAlign w:val="center"/>
          </w:tcPr>
          <w:p>
            <w:pPr>
              <w:widowControl/>
              <w:jc w:val="center"/>
              <w:rPr>
                <w:rFonts w:ascii="仿宋_GB2312" w:eastAsia="仿宋_GB2312"/>
                <w:color w:val="000000"/>
                <w:sz w:val="18"/>
                <w:szCs w:val="18"/>
              </w:rPr>
            </w:pPr>
          </w:p>
        </w:tc>
        <w:tc>
          <w:tcPr>
            <w:tcW w:w="222" w:type="pct"/>
            <w:vMerge w:val="continue"/>
            <w:shd w:val="clear" w:color="auto" w:fill="FFFFFF" w:themeFill="background1"/>
            <w:noWrap w:val="0"/>
            <w:vAlign w:val="center"/>
          </w:tcPr>
          <w:p>
            <w:pPr>
              <w:widowControl/>
              <w:spacing w:line="320" w:lineRule="exact"/>
              <w:jc w:val="center"/>
              <w:rPr>
                <w:rFonts w:ascii="仿宋_GB2312" w:eastAsia="仿宋_GB2312"/>
                <w:color w:val="000000"/>
                <w:sz w:val="18"/>
                <w:szCs w:val="18"/>
              </w:rPr>
            </w:pPr>
          </w:p>
        </w:tc>
        <w:tc>
          <w:tcPr>
            <w:tcW w:w="813" w:type="pct"/>
            <w:vMerge w:val="continue"/>
            <w:shd w:val="clear" w:color="auto" w:fill="FFFFFF" w:themeFill="background1"/>
            <w:noWrap w:val="0"/>
            <w:vAlign w:val="center"/>
          </w:tcPr>
          <w:p>
            <w:pPr>
              <w:widowControl/>
              <w:rPr>
                <w:rFonts w:ascii="仿宋_GB2312" w:eastAsia="仿宋_GB2312"/>
                <w:color w:val="000000"/>
                <w:sz w:val="18"/>
                <w:szCs w:val="18"/>
              </w:rPr>
            </w:pPr>
          </w:p>
        </w:tc>
        <w:tc>
          <w:tcPr>
            <w:tcW w:w="468" w:type="pct"/>
            <w:vMerge w:val="continue"/>
            <w:shd w:val="clear" w:color="auto" w:fill="FFFFFF" w:themeFill="background1"/>
            <w:noWrap w:val="0"/>
            <w:vAlign w:val="center"/>
          </w:tcPr>
          <w:p>
            <w:pPr>
              <w:widowControl/>
              <w:rPr>
                <w:rFonts w:ascii="仿宋_GB2312" w:eastAsia="仿宋_GB2312"/>
                <w:color w:val="000000"/>
                <w:sz w:val="18"/>
                <w:szCs w:val="18"/>
              </w:rPr>
            </w:pPr>
          </w:p>
        </w:tc>
        <w:tc>
          <w:tcPr>
            <w:tcW w:w="630" w:type="pct"/>
            <w:shd w:val="clear" w:color="auto" w:fill="FFFFFF" w:themeFill="background1"/>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516" w:type="pct"/>
            <w:vMerge w:val="continue"/>
            <w:shd w:val="clear" w:color="auto" w:fill="FFFFFF" w:themeFill="background1"/>
            <w:noWrap w:val="0"/>
            <w:vAlign w:val="center"/>
          </w:tcPr>
          <w:p>
            <w:pPr>
              <w:widowControl/>
              <w:spacing w:line="320" w:lineRule="exact"/>
              <w:jc w:val="center"/>
              <w:rPr>
                <w:rFonts w:ascii="仿宋_GB2312" w:eastAsia="仿宋_GB2312"/>
                <w:color w:val="000000"/>
                <w:sz w:val="18"/>
                <w:szCs w:val="18"/>
              </w:rPr>
            </w:pPr>
          </w:p>
        </w:tc>
        <w:tc>
          <w:tcPr>
            <w:tcW w:w="578" w:type="pct"/>
            <w:vMerge w:val="continue"/>
            <w:shd w:val="clear" w:color="auto" w:fill="FFFFFF" w:themeFill="background1"/>
            <w:noWrap w:val="0"/>
            <w:vAlign w:val="center"/>
          </w:tcPr>
          <w:p>
            <w:pPr>
              <w:widowControl/>
              <w:rPr>
                <w:rFonts w:ascii="仿宋_GB2312" w:eastAsia="仿宋_GB2312"/>
                <w:color w:val="000000"/>
                <w:sz w:val="18"/>
                <w:szCs w:val="18"/>
              </w:rPr>
            </w:pPr>
          </w:p>
        </w:tc>
        <w:tc>
          <w:tcPr>
            <w:tcW w:w="597" w:type="pct"/>
            <w:shd w:val="clear" w:color="auto" w:fill="FFFFFF" w:themeFill="background1"/>
            <w:noWrap w:val="0"/>
            <w:vAlign w:val="top"/>
          </w:tcPr>
          <w:p>
            <w:pPr>
              <w:widowControl/>
              <w:jc w:val="center"/>
              <w:rPr>
                <w:rFonts w:hint="eastAsia" w:ascii="仿宋_GB2312" w:eastAsia="仿宋_GB2312"/>
                <w:color w:val="000000"/>
                <w:sz w:val="18"/>
                <w:szCs w:val="18"/>
              </w:rPr>
            </w:pPr>
          </w:p>
        </w:tc>
        <w:tc>
          <w:tcPr>
            <w:tcW w:w="133" w:type="pct"/>
            <w:shd w:val="clear" w:color="auto" w:fill="FFFFFF" w:themeFill="background1"/>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133" w:type="pct"/>
            <w:shd w:val="clear" w:color="auto" w:fill="FFFFFF" w:themeFill="background1"/>
            <w:noWrap w:val="0"/>
            <w:vAlign w:val="center"/>
          </w:tcPr>
          <w:p>
            <w:pPr>
              <w:jc w:val="center"/>
              <w:rPr>
                <w:rFonts w:ascii="仿宋_GB2312" w:eastAsia="仿宋_GB2312"/>
                <w:color w:val="000000"/>
                <w:sz w:val="18"/>
                <w:szCs w:val="18"/>
              </w:rPr>
            </w:pPr>
          </w:p>
        </w:tc>
        <w:tc>
          <w:tcPr>
            <w:tcW w:w="129" w:type="pct"/>
            <w:vMerge w:val="continue"/>
            <w:shd w:val="clear" w:color="auto" w:fill="FFFFFF" w:themeFill="background1"/>
            <w:noWrap w:val="0"/>
            <w:vAlign w:val="center"/>
          </w:tcPr>
          <w:p>
            <w:pPr>
              <w:widowControl/>
              <w:jc w:val="center"/>
              <w:rPr>
                <w:rFonts w:ascii="仿宋_GB2312" w:eastAsia="仿宋_GB2312"/>
                <w:color w:val="000000"/>
                <w:sz w:val="18"/>
                <w:szCs w:val="18"/>
              </w:rPr>
            </w:pPr>
          </w:p>
        </w:tc>
        <w:tc>
          <w:tcPr>
            <w:tcW w:w="133" w:type="pct"/>
            <w:vMerge w:val="continue"/>
            <w:shd w:val="clear" w:color="auto" w:fill="FFFFFF" w:themeFill="background1"/>
            <w:noWrap w:val="0"/>
            <w:vAlign w:val="center"/>
          </w:tcPr>
          <w:p>
            <w:pPr>
              <w:widowControl/>
              <w:jc w:val="center"/>
              <w:rPr>
                <w:rFonts w:ascii="仿宋_GB2312" w:eastAsia="仿宋_GB2312"/>
                <w:color w:val="000000"/>
                <w:sz w:val="18"/>
                <w:szCs w:val="18"/>
              </w:rPr>
            </w:pPr>
          </w:p>
        </w:tc>
        <w:tc>
          <w:tcPr>
            <w:tcW w:w="133" w:type="pct"/>
            <w:vMerge w:val="continue"/>
            <w:shd w:val="clear" w:color="auto" w:fill="FFFFFF" w:themeFill="background1"/>
            <w:noWrap w:val="0"/>
            <w:vAlign w:val="center"/>
          </w:tcPr>
          <w:p>
            <w:pPr>
              <w:widowControl/>
              <w:jc w:val="center"/>
              <w:rPr>
                <w:rFonts w:ascii="仿宋_GB2312" w:eastAsia="仿宋_GB2312"/>
                <w:color w:val="000000"/>
                <w:sz w:val="18"/>
                <w:szCs w:val="18"/>
              </w:rPr>
            </w:pPr>
          </w:p>
        </w:tc>
        <w:tc>
          <w:tcPr>
            <w:tcW w:w="123" w:type="pct"/>
            <w:vMerge w:val="continue"/>
            <w:shd w:val="clear" w:color="auto" w:fill="FFFFFF" w:themeFill="background1"/>
            <w:noWrap w:val="0"/>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62" w:type="pct"/>
            <w:shd w:val="clear" w:color="auto" w:fill="FFFFFF" w:themeFill="background1"/>
            <w:noWrap w:val="0"/>
            <w:vAlign w:val="center"/>
          </w:tcPr>
          <w:p>
            <w:pPr>
              <w:widowControl/>
              <w:ind w:firstLine="90" w:firstLineChars="50"/>
              <w:rPr>
                <w:rFonts w:hint="eastAsia" w:ascii="仿宋_GB2312" w:eastAsia="仿宋_GB2312"/>
                <w:color w:val="000000"/>
                <w:sz w:val="18"/>
                <w:szCs w:val="18"/>
                <w:lang w:val="en-US" w:eastAsia="zh-CN"/>
              </w:rPr>
            </w:pPr>
            <w:r>
              <w:rPr>
                <w:rFonts w:hint="eastAsia" w:ascii="仿宋_GB2312" w:eastAsia="仿宋_GB2312"/>
                <w:color w:val="000000"/>
                <w:sz w:val="18"/>
                <w:szCs w:val="18"/>
                <w:lang w:val="en-US" w:eastAsia="zh-CN"/>
              </w:rPr>
              <w:t>4</w:t>
            </w:r>
          </w:p>
        </w:tc>
        <w:tc>
          <w:tcPr>
            <w:tcW w:w="222" w:type="pct"/>
            <w:vMerge w:val="restart"/>
            <w:shd w:val="clear" w:color="auto" w:fill="FFFFFF" w:themeFill="background1"/>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征地审查报批</w:t>
            </w:r>
          </w:p>
        </w:tc>
        <w:tc>
          <w:tcPr>
            <w:tcW w:w="222" w:type="pct"/>
            <w:shd w:val="clear" w:color="auto" w:fill="FFFFFF" w:themeFill="background1"/>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征地报批材料</w:t>
            </w:r>
          </w:p>
        </w:tc>
        <w:tc>
          <w:tcPr>
            <w:tcW w:w="813" w:type="pct"/>
            <w:shd w:val="clear" w:color="auto" w:fill="FFFFFF" w:themeFill="background1"/>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县（市、区）人民政府按照建设用地审查报批有关规定，组织用地报批过程中的相关报批材料予以公开。</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1.县（市、区）人民政府建设用地请示；</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2.县（市、区）自然资源主管部门建设用地审查意见；</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3.建设用地呈报说明书、农用地转用方案、补充耕地方案、征收土地方案、供地方案；</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〔*其他相关文字报批材料和图件由各省（区、市）确定公开方式〕。</w:t>
            </w:r>
          </w:p>
        </w:tc>
        <w:tc>
          <w:tcPr>
            <w:tcW w:w="468" w:type="pct"/>
            <w:shd w:val="clear" w:color="auto" w:fill="FFFFFF" w:themeFill="background1"/>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《政府信息公开条例》、建设用地审查报批有关规定。</w:t>
            </w:r>
          </w:p>
        </w:tc>
        <w:tc>
          <w:tcPr>
            <w:tcW w:w="630" w:type="pct"/>
            <w:shd w:val="clear" w:color="auto" w:fill="FFFFFF" w:themeFill="background1"/>
            <w:noWrap w:val="0"/>
            <w:vAlign w:val="center"/>
          </w:tcPr>
          <w:p>
            <w:pPr>
              <w:widowControl/>
              <w:spacing w:before="156" w:beforeLines="50" w:after="156" w:afterLines="50"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w:t>
            </w:r>
            <w:r>
              <w:rPr>
                <w:rFonts w:ascii="仿宋_GB2312" w:eastAsia="仿宋_GB2312"/>
                <w:color w:val="000000"/>
                <w:sz w:val="18"/>
                <w:szCs w:val="18"/>
              </w:rPr>
              <w:t>个工作日</w:t>
            </w:r>
            <w:r>
              <w:rPr>
                <w:rFonts w:hint="eastAsia" w:ascii="仿宋_GB2312" w:eastAsia="仿宋_GB2312"/>
                <w:color w:val="000000"/>
                <w:sz w:val="18"/>
                <w:szCs w:val="18"/>
              </w:rPr>
              <w:t>内公开。</w:t>
            </w:r>
          </w:p>
        </w:tc>
        <w:tc>
          <w:tcPr>
            <w:tcW w:w="516" w:type="pct"/>
            <w:shd w:val="clear" w:color="auto" w:fill="FFFFFF" w:themeFill="background1"/>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lang w:eastAsia="zh-CN"/>
              </w:rPr>
              <w:t>长春市规自局汽开分局</w:t>
            </w:r>
          </w:p>
        </w:tc>
        <w:tc>
          <w:tcPr>
            <w:tcW w:w="578" w:type="pct"/>
            <w:shd w:val="clear" w:color="auto" w:fill="FFFFFF" w:themeFill="background1"/>
            <w:noWrap w:val="0"/>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▲征地信息公开平台</w:t>
            </w:r>
          </w:p>
          <w:p>
            <w:pPr>
              <w:widowControl/>
              <w:spacing w:line="260" w:lineRule="exact"/>
              <w:rPr>
                <w:rFonts w:ascii="仿宋_GB2312" w:eastAsia="仿宋_GB2312"/>
                <w:color w:val="000000"/>
                <w:sz w:val="18"/>
                <w:szCs w:val="18"/>
              </w:rPr>
            </w:pPr>
          </w:p>
        </w:tc>
        <w:tc>
          <w:tcPr>
            <w:tcW w:w="597" w:type="pct"/>
            <w:shd w:val="clear" w:color="auto" w:fill="FFFFFF" w:themeFill="background1"/>
            <w:noWrap w:val="0"/>
            <w:vAlign w:val="center"/>
          </w:tcPr>
          <w:p>
            <w:pPr>
              <w:widowControl/>
              <w:jc w:val="center"/>
              <w:rPr>
                <w:rFonts w:hint="eastAsia" w:ascii="仿宋_GB2312" w:eastAsia="仿宋_GB2312"/>
                <w:color w:val="0000FF"/>
                <w:sz w:val="18"/>
                <w:szCs w:val="18"/>
                <w:u w:val="single"/>
              </w:rPr>
            </w:pPr>
            <w:r>
              <w:rPr>
                <w:rFonts w:hint="eastAsia" w:ascii="仿宋_GB2312" w:eastAsia="仿宋_GB2312"/>
                <w:color w:val="0000FF"/>
                <w:sz w:val="18"/>
                <w:szCs w:val="18"/>
                <w:u w:val="single"/>
              </w:rPr>
              <w:t>http://</w:t>
            </w:r>
          </w:p>
          <w:p>
            <w:pPr>
              <w:widowControl/>
              <w:jc w:val="center"/>
              <w:rPr>
                <w:rFonts w:hint="eastAsia" w:ascii="仿宋_GB2312" w:eastAsia="仿宋_GB2312"/>
                <w:color w:val="0000FF"/>
                <w:sz w:val="18"/>
                <w:szCs w:val="18"/>
                <w:u w:val="single"/>
              </w:rPr>
            </w:pPr>
            <w:r>
              <w:rPr>
                <w:rFonts w:hint="eastAsia" w:ascii="仿宋_GB2312" w:eastAsia="仿宋_GB2312"/>
                <w:color w:val="0000FF"/>
                <w:sz w:val="18"/>
                <w:szCs w:val="18"/>
                <w:u w:val="single"/>
              </w:rPr>
              <w:t>gzj.changchun.</w:t>
            </w:r>
          </w:p>
          <w:p>
            <w:pPr>
              <w:widowControl/>
              <w:spacing w:line="300" w:lineRule="exact"/>
              <w:jc w:val="center"/>
              <w:rPr>
                <w:rFonts w:hint="eastAsia" w:ascii="仿宋_GB2312" w:eastAsia="仿宋_GB2312"/>
                <w:color w:val="0000FF"/>
                <w:sz w:val="18"/>
                <w:szCs w:val="18"/>
                <w:u w:val="single"/>
              </w:rPr>
            </w:pPr>
            <w:r>
              <w:rPr>
                <w:rFonts w:hint="eastAsia" w:ascii="仿宋_GB2312" w:eastAsia="仿宋_GB2312"/>
                <w:color w:val="0000FF"/>
                <w:sz w:val="18"/>
                <w:szCs w:val="18"/>
                <w:u w:val="single"/>
              </w:rPr>
              <w:t>gov.cn/</w:t>
            </w:r>
          </w:p>
        </w:tc>
        <w:tc>
          <w:tcPr>
            <w:tcW w:w="133" w:type="pct"/>
            <w:shd w:val="clear" w:color="auto" w:fill="FFFFFF" w:themeFill="background1"/>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133" w:type="pct"/>
            <w:shd w:val="clear" w:color="auto" w:fill="FFFFFF" w:themeFill="background1"/>
            <w:noWrap w:val="0"/>
            <w:vAlign w:val="center"/>
          </w:tcPr>
          <w:p>
            <w:pPr>
              <w:widowControl/>
              <w:spacing w:line="300" w:lineRule="exact"/>
              <w:jc w:val="center"/>
              <w:rPr>
                <w:rFonts w:ascii="仿宋_GB2312" w:eastAsia="仿宋_GB2312"/>
                <w:color w:val="000000"/>
                <w:sz w:val="18"/>
                <w:szCs w:val="18"/>
              </w:rPr>
            </w:pPr>
          </w:p>
        </w:tc>
        <w:tc>
          <w:tcPr>
            <w:tcW w:w="129" w:type="pct"/>
            <w:shd w:val="clear" w:color="auto" w:fill="FFFFFF" w:themeFill="background1"/>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133" w:type="pct"/>
            <w:shd w:val="clear" w:color="auto" w:fill="FFFFFF" w:themeFill="background1"/>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133" w:type="pct"/>
            <w:shd w:val="clear" w:color="auto" w:fill="FFFFFF" w:themeFill="background1"/>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123" w:type="pct"/>
            <w:shd w:val="clear" w:color="auto" w:fill="FFFFFF" w:themeFill="background1"/>
            <w:noWrap w:val="0"/>
            <w:vAlign w:val="center"/>
          </w:tcPr>
          <w:p>
            <w:pPr>
              <w:widowControl/>
              <w:spacing w:line="30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62" w:type="pct"/>
            <w:shd w:val="clear" w:color="auto" w:fill="FFFFFF" w:themeFill="background1"/>
            <w:noWrap w:val="0"/>
            <w:vAlign w:val="center"/>
          </w:tcPr>
          <w:p>
            <w:pPr>
              <w:widowControl/>
              <w:spacing w:line="320" w:lineRule="exact"/>
              <w:jc w:val="center"/>
              <w:rPr>
                <w:rFonts w:hint="eastAsia" w:ascii="仿宋_GB2312" w:eastAsia="仿宋_GB2312"/>
                <w:color w:val="000000"/>
                <w:sz w:val="18"/>
                <w:szCs w:val="18"/>
                <w:lang w:val="en-US" w:eastAsia="zh-CN"/>
              </w:rPr>
            </w:pPr>
            <w:r>
              <w:rPr>
                <w:rFonts w:hint="eastAsia" w:ascii="仿宋_GB2312" w:eastAsia="仿宋_GB2312"/>
                <w:color w:val="000000"/>
                <w:sz w:val="18"/>
                <w:szCs w:val="18"/>
                <w:lang w:val="en-US" w:eastAsia="zh-CN"/>
              </w:rPr>
              <w:t>5</w:t>
            </w:r>
          </w:p>
        </w:tc>
        <w:tc>
          <w:tcPr>
            <w:tcW w:w="222" w:type="pct"/>
            <w:vMerge w:val="continue"/>
            <w:shd w:val="clear" w:color="auto" w:fill="FFFFFF" w:themeFill="background1"/>
            <w:noWrap w:val="0"/>
            <w:vAlign w:val="center"/>
          </w:tcPr>
          <w:p>
            <w:pPr>
              <w:widowControl/>
              <w:spacing w:line="300" w:lineRule="exact"/>
              <w:jc w:val="center"/>
              <w:rPr>
                <w:rFonts w:ascii="仿宋_GB2312" w:eastAsia="仿宋_GB2312"/>
                <w:color w:val="000000"/>
                <w:sz w:val="18"/>
                <w:szCs w:val="18"/>
              </w:rPr>
            </w:pPr>
          </w:p>
        </w:tc>
        <w:tc>
          <w:tcPr>
            <w:tcW w:w="222" w:type="pct"/>
            <w:shd w:val="clear" w:color="auto" w:fill="FFFFFF" w:themeFill="background1"/>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征地批准文件</w:t>
            </w:r>
          </w:p>
        </w:tc>
        <w:tc>
          <w:tcPr>
            <w:tcW w:w="813" w:type="pct"/>
            <w:shd w:val="clear" w:color="auto" w:fill="FFFFFF" w:themeFill="background1"/>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有权一级人民政府批准用地的批复文件、地方人民政府转发批复文件应予以公开。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1.国务院批准用地批复文件（指用地由国务院批准）；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2.省级人民政府批准用地批复文件（指用地由省级人民政府批准）；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3.国务院批准城市用地后省级人民政府审核同意实施方案文件；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4.地方人民政府转发用地批复文件；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5.其他用地批准文件。</w:t>
            </w:r>
          </w:p>
        </w:tc>
        <w:tc>
          <w:tcPr>
            <w:tcW w:w="468" w:type="pct"/>
            <w:shd w:val="clear" w:color="auto" w:fill="FFFFFF" w:themeFill="background1"/>
            <w:noWrap w:val="0"/>
            <w:vAlign w:val="center"/>
          </w:tcPr>
          <w:p>
            <w:pPr>
              <w:widowControl/>
              <w:spacing w:line="260" w:lineRule="exact"/>
              <w:jc w:val="left"/>
              <w:rPr>
                <w:rFonts w:hint="eastAsia" w:ascii="仿宋_GB2312" w:eastAsia="仿宋_GB2312"/>
                <w:color w:val="000000"/>
                <w:sz w:val="18"/>
                <w:szCs w:val="18"/>
              </w:rPr>
            </w:pPr>
            <w:r>
              <w:rPr>
                <w:rFonts w:hint="eastAsia" w:ascii="仿宋_GB2312" w:eastAsia="仿宋_GB2312"/>
                <w:color w:val="000000"/>
                <w:sz w:val="18"/>
                <w:szCs w:val="18"/>
              </w:rPr>
              <w:t>《土地管理法》、《政府信息公开条例》</w:t>
            </w:r>
          </w:p>
          <w:p>
            <w:pPr>
              <w:widowControl/>
              <w:spacing w:line="260" w:lineRule="exact"/>
              <w:jc w:val="left"/>
              <w:rPr>
                <w:rFonts w:ascii="仿宋_GB2312" w:eastAsia="仿宋_GB2312"/>
                <w:color w:val="000000"/>
                <w:sz w:val="18"/>
                <w:szCs w:val="18"/>
              </w:rPr>
            </w:pPr>
          </w:p>
        </w:tc>
        <w:tc>
          <w:tcPr>
            <w:tcW w:w="630" w:type="pct"/>
            <w:shd w:val="clear" w:color="auto" w:fill="FFFFFF" w:themeFill="background1"/>
            <w:noWrap w:val="0"/>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516" w:type="pct"/>
            <w:shd w:val="clear" w:color="auto" w:fill="FFFFFF" w:themeFill="background1"/>
            <w:noWrap w:val="0"/>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lang w:eastAsia="zh-CN"/>
              </w:rPr>
              <w:t>长春市规自局汽开分局</w:t>
            </w:r>
          </w:p>
        </w:tc>
        <w:tc>
          <w:tcPr>
            <w:tcW w:w="578" w:type="pct"/>
            <w:shd w:val="clear" w:color="auto" w:fill="FFFFFF" w:themeFill="background1"/>
            <w:noWrap w:val="0"/>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▲村公示栏（电子屏）</w:t>
            </w:r>
          </w:p>
        </w:tc>
        <w:tc>
          <w:tcPr>
            <w:tcW w:w="597" w:type="pct"/>
            <w:shd w:val="clear" w:color="auto" w:fill="FFFFFF" w:themeFill="background1"/>
            <w:noWrap w:val="0"/>
            <w:vAlign w:val="center"/>
          </w:tcPr>
          <w:p>
            <w:pPr>
              <w:widowControl/>
              <w:jc w:val="center"/>
              <w:rPr>
                <w:rFonts w:hint="eastAsia" w:ascii="仿宋_GB2312" w:eastAsia="仿宋_GB2312"/>
                <w:color w:val="0000FF"/>
                <w:sz w:val="18"/>
                <w:szCs w:val="18"/>
                <w:u w:val="single"/>
              </w:rPr>
            </w:pPr>
            <w:r>
              <w:rPr>
                <w:rFonts w:hint="eastAsia" w:ascii="仿宋_GB2312" w:eastAsia="仿宋_GB2312"/>
                <w:color w:val="0000FF"/>
                <w:sz w:val="18"/>
                <w:szCs w:val="18"/>
                <w:u w:val="single"/>
              </w:rPr>
              <w:t>http://</w:t>
            </w:r>
          </w:p>
          <w:p>
            <w:pPr>
              <w:widowControl/>
              <w:jc w:val="center"/>
              <w:rPr>
                <w:rFonts w:hint="eastAsia" w:ascii="仿宋_GB2312" w:eastAsia="仿宋_GB2312"/>
                <w:color w:val="0000FF"/>
                <w:sz w:val="18"/>
                <w:szCs w:val="18"/>
                <w:u w:val="single"/>
              </w:rPr>
            </w:pPr>
            <w:r>
              <w:rPr>
                <w:rFonts w:hint="eastAsia" w:ascii="仿宋_GB2312" w:eastAsia="仿宋_GB2312"/>
                <w:color w:val="0000FF"/>
                <w:sz w:val="18"/>
                <w:szCs w:val="18"/>
                <w:u w:val="single"/>
              </w:rPr>
              <w:t>gzj.changchun.</w:t>
            </w:r>
          </w:p>
          <w:p>
            <w:pPr>
              <w:widowControl/>
              <w:spacing w:line="300" w:lineRule="exact"/>
              <w:jc w:val="center"/>
              <w:rPr>
                <w:rFonts w:hint="eastAsia" w:ascii="仿宋_GB2312" w:eastAsia="仿宋_GB2312"/>
                <w:color w:val="0000FF"/>
                <w:sz w:val="18"/>
                <w:szCs w:val="18"/>
                <w:u w:val="single"/>
              </w:rPr>
            </w:pPr>
            <w:r>
              <w:rPr>
                <w:rFonts w:hint="eastAsia" w:ascii="仿宋_GB2312" w:eastAsia="仿宋_GB2312"/>
                <w:color w:val="0000FF"/>
                <w:sz w:val="18"/>
                <w:szCs w:val="18"/>
                <w:u w:val="single"/>
              </w:rPr>
              <w:t>gov.cn/</w:t>
            </w:r>
          </w:p>
        </w:tc>
        <w:tc>
          <w:tcPr>
            <w:tcW w:w="133" w:type="pct"/>
            <w:shd w:val="clear" w:color="auto" w:fill="FFFFFF" w:themeFill="background1"/>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133" w:type="pct"/>
            <w:shd w:val="clear" w:color="auto" w:fill="FFFFFF" w:themeFill="background1"/>
            <w:noWrap w:val="0"/>
            <w:vAlign w:val="center"/>
          </w:tcPr>
          <w:p>
            <w:pPr>
              <w:widowControl/>
              <w:spacing w:line="300" w:lineRule="exact"/>
              <w:jc w:val="center"/>
              <w:rPr>
                <w:rFonts w:ascii="仿宋_GB2312" w:eastAsia="仿宋_GB2312"/>
                <w:color w:val="000000"/>
                <w:sz w:val="18"/>
                <w:szCs w:val="18"/>
              </w:rPr>
            </w:pPr>
          </w:p>
        </w:tc>
        <w:tc>
          <w:tcPr>
            <w:tcW w:w="129" w:type="pct"/>
            <w:shd w:val="clear" w:color="auto" w:fill="FFFFFF" w:themeFill="background1"/>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133" w:type="pct"/>
            <w:shd w:val="clear" w:color="auto" w:fill="FFFFFF" w:themeFill="background1"/>
            <w:noWrap w:val="0"/>
            <w:vAlign w:val="center"/>
          </w:tcPr>
          <w:p>
            <w:pPr>
              <w:widowControl/>
              <w:spacing w:line="300" w:lineRule="exact"/>
              <w:jc w:val="center"/>
              <w:rPr>
                <w:rFonts w:ascii="仿宋_GB2312" w:eastAsia="仿宋_GB2312"/>
                <w:color w:val="000000"/>
                <w:sz w:val="18"/>
                <w:szCs w:val="18"/>
              </w:rPr>
            </w:pPr>
          </w:p>
        </w:tc>
        <w:tc>
          <w:tcPr>
            <w:tcW w:w="133" w:type="pct"/>
            <w:shd w:val="clear" w:color="auto" w:fill="FFFFFF" w:themeFill="background1"/>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123" w:type="pct"/>
            <w:shd w:val="clear" w:color="auto" w:fill="FFFFFF" w:themeFill="background1"/>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62" w:type="pct"/>
            <w:shd w:val="clear" w:color="auto" w:fill="FFFFFF" w:themeFill="background1"/>
            <w:noWrap w:val="0"/>
            <w:vAlign w:val="center"/>
          </w:tcPr>
          <w:p>
            <w:pPr>
              <w:widowControl/>
              <w:jc w:val="center"/>
              <w:rPr>
                <w:rFonts w:hint="eastAsia" w:ascii="仿宋_GB2312" w:eastAsia="仿宋_GB2312"/>
                <w:color w:val="000000"/>
                <w:sz w:val="18"/>
                <w:szCs w:val="18"/>
                <w:lang w:val="en-US" w:eastAsia="zh-CN"/>
              </w:rPr>
            </w:pPr>
            <w:r>
              <w:rPr>
                <w:rFonts w:hint="eastAsia" w:ascii="仿宋_GB2312" w:eastAsia="仿宋_GB2312"/>
                <w:color w:val="000000"/>
                <w:sz w:val="18"/>
                <w:szCs w:val="18"/>
                <w:lang w:val="en-US" w:eastAsia="zh-CN"/>
              </w:rPr>
              <w:t>6</w:t>
            </w:r>
          </w:p>
        </w:tc>
        <w:tc>
          <w:tcPr>
            <w:tcW w:w="222" w:type="pct"/>
            <w:shd w:val="clear" w:color="auto" w:fill="FFFFFF" w:themeFill="background1"/>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222" w:type="pct"/>
            <w:shd w:val="clear" w:color="auto" w:fill="FFFFFF" w:themeFill="background1"/>
            <w:noWrap w:val="0"/>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征地补偿安置方案公告</w:t>
            </w:r>
          </w:p>
        </w:tc>
        <w:tc>
          <w:tcPr>
            <w:tcW w:w="813" w:type="pct"/>
            <w:shd w:val="clear" w:color="auto" w:fill="FFFFFF" w:themeFill="background1"/>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征收土地公告期满后，县（市、区）自然资源主管部门和负责农村集体土地征收的有关部门拟定《征地补偿安置方案》并予以公开。</w:t>
            </w:r>
          </w:p>
          <w:p>
            <w:pPr>
              <w:rPr>
                <w:rFonts w:hint="eastAsia" w:ascii="仿宋_GB2312" w:eastAsia="仿宋_GB2312"/>
                <w:color w:val="000000"/>
                <w:sz w:val="18"/>
                <w:szCs w:val="18"/>
              </w:rPr>
            </w:pPr>
            <w:r>
              <w:rPr>
                <w:rFonts w:hint="eastAsia" w:ascii="仿宋_GB2312" w:eastAsia="仿宋_GB2312"/>
                <w:color w:val="000000"/>
                <w:sz w:val="18"/>
                <w:szCs w:val="18"/>
              </w:rPr>
              <w:t>1.被征收土地的位置、地类、面积，地上附着物和青苗的种类、数量，需要安置的农业人口和数量；</w:t>
            </w:r>
            <w:r>
              <w:rPr>
                <w:rFonts w:ascii="仿宋_GB2312" w:eastAsia="仿宋_GB2312"/>
                <w:color w:val="000000"/>
                <w:sz w:val="18"/>
                <w:szCs w:val="18"/>
              </w:rPr>
              <w:t xml:space="preserve"> </w:t>
            </w:r>
          </w:p>
          <w:p>
            <w:pPr>
              <w:rPr>
                <w:rFonts w:hint="eastAsia" w:ascii="仿宋_GB2312" w:eastAsia="仿宋_GB2312"/>
                <w:color w:val="000000"/>
                <w:sz w:val="18"/>
                <w:szCs w:val="18"/>
              </w:rPr>
            </w:pPr>
            <w:r>
              <w:rPr>
                <w:rFonts w:hint="eastAsia" w:ascii="仿宋_GB2312" w:eastAsia="仿宋_GB2312"/>
                <w:color w:val="000000"/>
                <w:sz w:val="18"/>
                <w:szCs w:val="18"/>
              </w:rPr>
              <w:t>2.土地补偿费和安置补助费的标准、数额、支付对象和支付方式；</w:t>
            </w:r>
          </w:p>
          <w:p>
            <w:pPr>
              <w:rPr>
                <w:rFonts w:ascii="仿宋_GB2312" w:eastAsia="仿宋_GB2312"/>
                <w:color w:val="000000"/>
                <w:sz w:val="18"/>
                <w:szCs w:val="18"/>
              </w:rPr>
            </w:pPr>
            <w:r>
              <w:rPr>
                <w:rFonts w:hint="eastAsia" w:ascii="仿宋_GB2312" w:eastAsia="仿宋_GB2312"/>
                <w:color w:val="000000"/>
                <w:sz w:val="18"/>
                <w:szCs w:val="18"/>
              </w:rPr>
              <w:t>3.地上附着物和青苗的补偿标准与支付方式；</w:t>
            </w:r>
          </w:p>
          <w:p>
            <w:pPr>
              <w:rPr>
                <w:rFonts w:hint="eastAsia" w:ascii="仿宋_GB2312" w:eastAsia="仿宋_GB2312"/>
                <w:color w:val="000000"/>
                <w:sz w:val="18"/>
                <w:szCs w:val="18"/>
              </w:rPr>
            </w:pPr>
            <w:r>
              <w:rPr>
                <w:rFonts w:hint="eastAsia" w:ascii="仿宋_GB2312" w:eastAsia="仿宋_GB2312"/>
                <w:color w:val="000000"/>
                <w:sz w:val="18"/>
                <w:szCs w:val="18"/>
              </w:rPr>
              <w:t>4.社会保障费用的筹集方法、缴费比例和办法；</w:t>
            </w:r>
          </w:p>
          <w:p>
            <w:pPr>
              <w:rPr>
                <w:rFonts w:hint="eastAsia" w:ascii="仿宋_GB2312" w:eastAsia="仿宋_GB2312"/>
                <w:color w:val="000000"/>
                <w:sz w:val="18"/>
                <w:szCs w:val="18"/>
              </w:rPr>
            </w:pPr>
            <w:r>
              <w:rPr>
                <w:rFonts w:hint="eastAsia" w:ascii="仿宋_GB2312" w:eastAsia="仿宋_GB2312"/>
                <w:color w:val="000000"/>
                <w:sz w:val="18"/>
                <w:szCs w:val="18"/>
              </w:rPr>
              <w:t>5.农业人员安置具体途径；</w:t>
            </w:r>
          </w:p>
          <w:p>
            <w:pPr>
              <w:rPr>
                <w:rFonts w:hint="eastAsia" w:ascii="仿宋_GB2312" w:eastAsia="仿宋_GB2312"/>
                <w:color w:val="000000"/>
                <w:sz w:val="18"/>
                <w:szCs w:val="18"/>
              </w:rPr>
            </w:pPr>
            <w:r>
              <w:rPr>
                <w:rFonts w:hint="eastAsia" w:ascii="仿宋_GB2312" w:eastAsia="仿宋_GB2312"/>
                <w:color w:val="000000"/>
                <w:sz w:val="18"/>
                <w:szCs w:val="18"/>
              </w:rPr>
              <w:t>6.其他有关征地补偿、安置的具体措施；</w:t>
            </w:r>
          </w:p>
          <w:p>
            <w:pPr>
              <w:rPr>
                <w:rFonts w:hint="eastAsia" w:ascii="仿宋_GB2312" w:eastAsia="仿宋_GB2312"/>
                <w:color w:val="000000"/>
                <w:sz w:val="18"/>
                <w:szCs w:val="18"/>
              </w:rPr>
            </w:pPr>
            <w:r>
              <w:rPr>
                <w:rFonts w:hint="eastAsia" w:ascii="仿宋_GB2312" w:eastAsia="仿宋_GB2312"/>
                <w:color w:val="000000"/>
                <w:sz w:val="18"/>
                <w:szCs w:val="18"/>
              </w:rPr>
              <w:t>7.听证等救济途径；</w:t>
            </w:r>
          </w:p>
          <w:p>
            <w:pPr>
              <w:rPr>
                <w:rFonts w:hint="eastAsia" w:ascii="仿宋_GB2312" w:eastAsia="仿宋_GB2312"/>
                <w:color w:val="000000"/>
                <w:sz w:val="18"/>
                <w:szCs w:val="18"/>
              </w:rPr>
            </w:pPr>
            <w:r>
              <w:rPr>
                <w:rFonts w:hint="eastAsia" w:ascii="仿宋_GB2312" w:eastAsia="仿宋_GB2312"/>
                <w:color w:val="000000"/>
                <w:sz w:val="18"/>
                <w:szCs w:val="18"/>
              </w:rPr>
              <w:t>〔*征地补偿安置方案前置的，在前置环节一并公开〕。</w:t>
            </w:r>
          </w:p>
        </w:tc>
        <w:tc>
          <w:tcPr>
            <w:tcW w:w="468" w:type="pct"/>
            <w:shd w:val="clear" w:color="auto" w:fill="FFFFFF" w:themeFill="background1"/>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《国土资源部办公厅关于进一步做好市县征地信息公开工作有关问题的通知》、《征收土地公告办法》。</w:t>
            </w:r>
          </w:p>
        </w:tc>
        <w:tc>
          <w:tcPr>
            <w:tcW w:w="630" w:type="pct"/>
            <w:shd w:val="clear" w:color="auto" w:fill="FFFFFF" w:themeFill="background1"/>
            <w:noWrap w:val="0"/>
            <w:vAlign w:val="center"/>
          </w:tcPr>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拟定《征地补偿安置方案》后5个工作日内公开。</w:t>
            </w:r>
          </w:p>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公示结束后，转为依申请公开。</w:t>
            </w:r>
          </w:p>
          <w:p>
            <w:pPr>
              <w:widowControl/>
              <w:spacing w:line="320" w:lineRule="exact"/>
              <w:rPr>
                <w:rFonts w:hint="eastAsia" w:ascii="仿宋_GB2312" w:eastAsia="仿宋_GB2312"/>
                <w:color w:val="000000"/>
                <w:sz w:val="18"/>
                <w:szCs w:val="18"/>
              </w:rPr>
            </w:pPr>
          </w:p>
        </w:tc>
        <w:tc>
          <w:tcPr>
            <w:tcW w:w="516" w:type="pct"/>
            <w:shd w:val="clear" w:color="auto" w:fill="FFFFFF" w:themeFill="background1"/>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lang w:eastAsia="zh-CN"/>
              </w:rPr>
              <w:t>长春市规自局汽开分局</w:t>
            </w:r>
          </w:p>
        </w:tc>
        <w:tc>
          <w:tcPr>
            <w:tcW w:w="578" w:type="pct"/>
            <w:shd w:val="clear" w:color="auto" w:fill="FFFFFF" w:themeFill="background1"/>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hint="eastAsia" w:ascii="仿宋_GB2312" w:eastAsia="仿宋_GB2312"/>
                <w:color w:val="000000"/>
                <w:sz w:val="18"/>
                <w:szCs w:val="18"/>
              </w:rPr>
            </w:pPr>
          </w:p>
        </w:tc>
        <w:tc>
          <w:tcPr>
            <w:tcW w:w="597" w:type="pct"/>
            <w:shd w:val="clear" w:color="auto" w:fill="FFFFFF" w:themeFill="background1"/>
            <w:noWrap w:val="0"/>
            <w:vAlign w:val="top"/>
          </w:tcPr>
          <w:p>
            <w:pPr>
              <w:widowControl/>
              <w:jc w:val="center"/>
              <w:rPr>
                <w:rFonts w:ascii="仿宋_GB2312" w:eastAsia="仿宋_GB2312"/>
                <w:color w:val="000000"/>
                <w:sz w:val="18"/>
                <w:szCs w:val="18"/>
              </w:rPr>
            </w:pPr>
          </w:p>
        </w:tc>
        <w:tc>
          <w:tcPr>
            <w:tcW w:w="133" w:type="pct"/>
            <w:shd w:val="clear" w:color="auto" w:fill="FFFFFF" w:themeFill="background1"/>
            <w:noWrap w:val="0"/>
            <w:vAlign w:val="center"/>
          </w:tcPr>
          <w:p>
            <w:pPr>
              <w:widowControl/>
              <w:jc w:val="center"/>
              <w:rPr>
                <w:rFonts w:ascii="仿宋_GB2312" w:eastAsia="仿宋_GB2312"/>
                <w:color w:val="000000"/>
                <w:sz w:val="18"/>
                <w:szCs w:val="18"/>
              </w:rPr>
            </w:pPr>
          </w:p>
        </w:tc>
        <w:tc>
          <w:tcPr>
            <w:tcW w:w="133" w:type="pct"/>
            <w:shd w:val="clear" w:color="auto" w:fill="FFFFFF" w:themeFill="background1"/>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129" w:type="pct"/>
            <w:shd w:val="clear" w:color="auto" w:fill="FFFFFF" w:themeFill="background1"/>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133" w:type="pct"/>
            <w:shd w:val="clear" w:color="auto" w:fill="FFFFFF" w:themeFill="background1"/>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133" w:type="pct"/>
            <w:shd w:val="clear" w:color="auto" w:fill="FFFFFF" w:themeFill="background1"/>
            <w:noWrap w:val="0"/>
            <w:vAlign w:val="center"/>
          </w:tcPr>
          <w:p>
            <w:pPr>
              <w:widowControl/>
              <w:jc w:val="center"/>
              <w:rPr>
                <w:rFonts w:ascii="仿宋_GB2312" w:eastAsia="仿宋_GB2312"/>
                <w:color w:val="000000"/>
                <w:sz w:val="18"/>
                <w:szCs w:val="18"/>
              </w:rPr>
            </w:pPr>
          </w:p>
        </w:tc>
        <w:tc>
          <w:tcPr>
            <w:tcW w:w="123" w:type="pct"/>
            <w:shd w:val="clear" w:color="auto" w:fill="FFFFFF" w:themeFill="background1"/>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62" w:type="pct"/>
            <w:shd w:val="clear" w:color="auto" w:fill="FFFFFF" w:themeFill="background1"/>
            <w:noWrap w:val="0"/>
            <w:vAlign w:val="center"/>
          </w:tcPr>
          <w:p>
            <w:pPr>
              <w:widowControl/>
              <w:jc w:val="center"/>
              <w:rPr>
                <w:rFonts w:hint="eastAsia" w:ascii="仿宋_GB2312" w:eastAsia="仿宋_GB2312"/>
                <w:color w:val="000000"/>
                <w:sz w:val="18"/>
                <w:szCs w:val="18"/>
                <w:lang w:val="en-US" w:eastAsia="zh-CN"/>
              </w:rPr>
            </w:pPr>
            <w:r>
              <w:rPr>
                <w:rFonts w:hint="eastAsia" w:ascii="仿宋_GB2312" w:eastAsia="仿宋_GB2312"/>
                <w:color w:val="000000"/>
                <w:sz w:val="18"/>
                <w:szCs w:val="18"/>
                <w:lang w:val="en-US" w:eastAsia="zh-CN"/>
              </w:rPr>
              <w:t>7</w:t>
            </w:r>
          </w:p>
        </w:tc>
        <w:tc>
          <w:tcPr>
            <w:tcW w:w="222" w:type="pct"/>
            <w:shd w:val="clear" w:color="auto" w:fill="FFFFFF" w:themeFill="background1"/>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222" w:type="pct"/>
            <w:shd w:val="clear" w:color="auto" w:fill="FFFFFF" w:themeFill="background1"/>
            <w:noWrap w:val="0"/>
            <w:vAlign w:val="center"/>
          </w:tcPr>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征地补偿安置方案听证</w:t>
            </w:r>
          </w:p>
        </w:tc>
        <w:tc>
          <w:tcPr>
            <w:tcW w:w="813" w:type="pct"/>
            <w:shd w:val="clear" w:color="auto" w:fill="FFFFFF" w:themeFill="background1"/>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依申请开展听证工作的，听证结果公开。按征地补偿安置方案公告确定的时间制作《听证通知书》；按《听证通知书》规定的时间组织听证；实施听证的，公开听证相关材料。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2.听证处理意见；〔*听证笔录有关资料〕。</w:t>
            </w:r>
          </w:p>
        </w:tc>
        <w:tc>
          <w:tcPr>
            <w:tcW w:w="468" w:type="pct"/>
            <w:shd w:val="clear" w:color="auto" w:fill="FFFFFF" w:themeFill="background1"/>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630" w:type="pct"/>
            <w:shd w:val="clear" w:color="auto" w:fill="FFFFFF" w:themeFill="background1"/>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①《听证通知书》应在组织听证7个工作日前予以公开；②其他听证公开内容在征地听证结束后5个工作日内公开。公示结束后，转为依申请公开。</w:t>
            </w:r>
          </w:p>
        </w:tc>
        <w:tc>
          <w:tcPr>
            <w:tcW w:w="516" w:type="pct"/>
            <w:shd w:val="clear" w:color="auto" w:fill="FFFFFF" w:themeFill="background1"/>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lang w:eastAsia="zh-CN"/>
              </w:rPr>
              <w:t>长春市规自局汽开分局</w:t>
            </w:r>
          </w:p>
        </w:tc>
        <w:tc>
          <w:tcPr>
            <w:tcW w:w="578" w:type="pct"/>
            <w:shd w:val="clear" w:color="auto" w:fill="FFFFFF" w:themeFill="background1"/>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■村公示栏（电子屏）</w:t>
            </w:r>
          </w:p>
          <w:p>
            <w:pPr>
              <w:widowControl/>
              <w:rPr>
                <w:rFonts w:ascii="仿宋_GB2312" w:eastAsia="仿宋_GB2312"/>
                <w:color w:val="000000"/>
                <w:sz w:val="18"/>
                <w:szCs w:val="18"/>
              </w:rPr>
            </w:pPr>
          </w:p>
        </w:tc>
        <w:tc>
          <w:tcPr>
            <w:tcW w:w="597" w:type="pct"/>
            <w:shd w:val="clear" w:color="auto" w:fill="FFFFFF" w:themeFill="background1"/>
            <w:noWrap w:val="0"/>
            <w:vAlign w:val="top"/>
          </w:tcPr>
          <w:p>
            <w:pPr>
              <w:widowControl/>
              <w:jc w:val="center"/>
              <w:rPr>
                <w:rFonts w:ascii="仿宋_GB2312" w:eastAsia="仿宋_GB2312"/>
                <w:color w:val="000000"/>
                <w:sz w:val="18"/>
                <w:szCs w:val="18"/>
              </w:rPr>
            </w:pPr>
          </w:p>
        </w:tc>
        <w:tc>
          <w:tcPr>
            <w:tcW w:w="133" w:type="pct"/>
            <w:shd w:val="clear" w:color="auto" w:fill="FFFFFF" w:themeFill="background1"/>
            <w:noWrap w:val="0"/>
            <w:vAlign w:val="center"/>
          </w:tcPr>
          <w:p>
            <w:pPr>
              <w:widowControl/>
              <w:jc w:val="center"/>
              <w:rPr>
                <w:rFonts w:ascii="仿宋_GB2312" w:eastAsia="仿宋_GB2312"/>
                <w:color w:val="000000"/>
                <w:sz w:val="18"/>
                <w:szCs w:val="18"/>
              </w:rPr>
            </w:pPr>
          </w:p>
        </w:tc>
        <w:tc>
          <w:tcPr>
            <w:tcW w:w="133" w:type="pct"/>
            <w:shd w:val="clear" w:color="auto" w:fill="FFFFFF" w:themeFill="background1"/>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129" w:type="pct"/>
            <w:shd w:val="clear" w:color="auto" w:fill="FFFFFF" w:themeFill="background1"/>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133" w:type="pct"/>
            <w:shd w:val="clear" w:color="auto" w:fill="FFFFFF" w:themeFill="background1"/>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133" w:type="pct"/>
            <w:shd w:val="clear" w:color="auto" w:fill="FFFFFF" w:themeFill="background1"/>
            <w:noWrap w:val="0"/>
            <w:vAlign w:val="center"/>
          </w:tcPr>
          <w:p>
            <w:pPr>
              <w:widowControl/>
              <w:jc w:val="center"/>
              <w:rPr>
                <w:rFonts w:ascii="仿宋_GB2312" w:eastAsia="仿宋_GB2312"/>
                <w:color w:val="000000"/>
                <w:sz w:val="18"/>
                <w:szCs w:val="18"/>
              </w:rPr>
            </w:pPr>
          </w:p>
        </w:tc>
        <w:tc>
          <w:tcPr>
            <w:tcW w:w="123" w:type="pct"/>
            <w:shd w:val="clear" w:color="auto" w:fill="FFFFFF" w:themeFill="background1"/>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bl>
    <w:p>
      <w:pPr>
        <w:jc w:val="left"/>
        <w:rPr>
          <w:rFonts w:hint="eastAsia" w:ascii="宋体" w:hAnsi="宋体"/>
          <w:sz w:val="18"/>
          <w:szCs w:val="18"/>
        </w:rPr>
      </w:pPr>
      <w:r>
        <w:rPr>
          <w:rFonts w:hint="eastAsia" w:ascii="宋体" w:hAnsi="宋体"/>
          <w:sz w:val="18"/>
          <w:szCs w:val="18"/>
        </w:rPr>
        <w:t>注：1.公开内容中标注为“*”标记的，为可选项，由各地根据实际情况确定。</w:t>
      </w:r>
    </w:p>
    <w:p>
      <w:pPr>
        <w:ind w:firstLine="360" w:firstLineChars="200"/>
        <w:jc w:val="left"/>
        <w:rPr>
          <w:rFonts w:ascii="宋体" w:hAnsi="宋体"/>
          <w:sz w:val="28"/>
          <w:szCs w:val="28"/>
        </w:rPr>
      </w:pPr>
      <w:r>
        <w:rPr>
          <w:rFonts w:hint="eastAsia" w:ascii="宋体" w:hAnsi="宋体"/>
          <w:sz w:val="18"/>
          <w:szCs w:val="18"/>
        </w:rPr>
        <w:t>2.公开渠道中标注为“■”标记的，为征地实施中的公开渠道；标注为“▲”标记的，为征地批准后的公开渠道。</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2E6FFC"/>
    <w:rsid w:val="13E1502A"/>
    <w:rsid w:val="23EC0506"/>
    <w:rsid w:val="2C1E5E98"/>
    <w:rsid w:val="4F595EC9"/>
    <w:rsid w:val="682E6FFC"/>
    <w:rsid w:val="6DAB5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2020-09-02T07:04:00Z</dcterms:created>
  <dc:creator>快乐一生</dc:creator>
  <cp:lastModifiedBy>Yu。</cp:lastModifiedBy>
  <dcterms:modified xsi:type="dcterms:W3CDTF">2021-02-24T06:42:40Z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