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</w:t>
      </w:r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</w:t>
      </w:r>
      <w:r>
        <w:rPr>
          <w:rFonts w:ascii="方正小标宋_GBK" w:hAnsi="方正小标宋_GBK" w:eastAsia="方正小标宋_GBK"/>
          <w:b w:val="0"/>
          <w:bCs w:val="0"/>
          <w:sz w:val="30"/>
        </w:rPr>
        <w:t>城乡规划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3"/>
        <w:tblW w:w="50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709"/>
        <w:gridCol w:w="709"/>
        <w:gridCol w:w="1697"/>
        <w:gridCol w:w="1688"/>
        <w:gridCol w:w="1688"/>
        <w:gridCol w:w="1688"/>
        <w:gridCol w:w="1688"/>
        <w:gridCol w:w="1693"/>
        <w:gridCol w:w="374"/>
        <w:gridCol w:w="5"/>
        <w:gridCol w:w="369"/>
        <w:gridCol w:w="10"/>
        <w:gridCol w:w="364"/>
        <w:gridCol w:w="15"/>
        <w:gridCol w:w="359"/>
        <w:gridCol w:w="20"/>
        <w:gridCol w:w="354"/>
        <w:gridCol w:w="25"/>
        <w:gridCol w:w="349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</w:trPr>
        <w:tc>
          <w:tcPr>
            <w:tcW w:w="141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97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595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（要素）</w:t>
            </w:r>
          </w:p>
        </w:tc>
        <w:tc>
          <w:tcPr>
            <w:tcW w:w="592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592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592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592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和载体</w:t>
            </w:r>
          </w:p>
        </w:tc>
        <w:tc>
          <w:tcPr>
            <w:tcW w:w="594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链接地址</w:t>
            </w:r>
          </w:p>
        </w:tc>
        <w:tc>
          <w:tcPr>
            <w:tcW w:w="262" w:type="pct"/>
            <w:gridSpan w:val="3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262" w:type="pct"/>
            <w:gridSpan w:val="4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262" w:type="pct"/>
            <w:gridSpan w:val="4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</w:trPr>
        <w:tc>
          <w:tcPr>
            <w:tcW w:w="141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24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595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94" w:type="pct"/>
            <w:vMerge w:val="continue"/>
            <w:shd w:val="clear" w:color="auto" w:fill="FFFFFF" w:themeFill="background1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1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</w:trPr>
        <w:tc>
          <w:tcPr>
            <w:tcW w:w="141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24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法规文件</w:t>
            </w:r>
          </w:p>
        </w:tc>
        <w:tc>
          <w:tcPr>
            <w:tcW w:w="595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城乡规划领域相关法律、法规、规章、规范性文件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长春市规自局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汽开分局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■纸质载体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4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FF"/>
                <w:sz w:val="18"/>
                <w:szCs w:val="18"/>
                <w:u w:val="singl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FF"/>
                <w:sz w:val="18"/>
                <w:szCs w:val="18"/>
                <w:u w:val="single"/>
              </w:rPr>
              <w:t>http://gzj.changchun.gov.cn</w:t>
            </w:r>
          </w:p>
        </w:tc>
        <w:tc>
          <w:tcPr>
            <w:tcW w:w="131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1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城市、镇详细规划</w:t>
            </w:r>
          </w:p>
        </w:tc>
        <w:tc>
          <w:tcPr>
            <w:tcW w:w="595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脱密后的文本及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图表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长春市规自局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汽开分局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■政府服务中心 </w:t>
            </w:r>
          </w:p>
        </w:tc>
        <w:tc>
          <w:tcPr>
            <w:tcW w:w="594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/>
                <w:color w:val="0000FF"/>
                <w:sz w:val="18"/>
                <w:szCs w:val="18"/>
                <w:u w:val="single"/>
              </w:rPr>
              <w:t>http://gzj.changchun.gov.cn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8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24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建设项目选址意见书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新办、变更、延续、补证、注销的办理情况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长春市规自局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汽开分局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■政府服务中心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/>
                <w:color w:val="0000FF"/>
                <w:sz w:val="18"/>
                <w:szCs w:val="18"/>
                <w:u w:val="single"/>
              </w:rPr>
              <w:t>http://gzj.changchun.gov.cn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8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建设用地规划许可证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新办、变更、延续、补证、注销的办理情况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长春市规自局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汽开分局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■两微一端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■政府服务中心 </w:t>
            </w:r>
          </w:p>
        </w:tc>
        <w:tc>
          <w:tcPr>
            <w:tcW w:w="594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FF"/>
                <w:sz w:val="18"/>
                <w:szCs w:val="18"/>
                <w:u w:val="single"/>
              </w:rPr>
              <w:t>http://gzj.changchun.gov.cn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8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建设工程规划许可证</w:t>
            </w:r>
          </w:p>
        </w:tc>
        <w:tc>
          <w:tcPr>
            <w:tcW w:w="595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新办、变更、延续、补证、注销的办理情况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长春市规自局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汽开分局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■政府服务中心 </w:t>
            </w:r>
          </w:p>
        </w:tc>
        <w:tc>
          <w:tcPr>
            <w:tcW w:w="594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/>
                <w:color w:val="0000FF"/>
                <w:sz w:val="18"/>
                <w:szCs w:val="18"/>
                <w:u w:val="single"/>
              </w:rPr>
              <w:t>http://gzj.changchun.gov.cn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8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建设项目用地预审与选址意见书</w:t>
            </w:r>
          </w:p>
        </w:tc>
        <w:tc>
          <w:tcPr>
            <w:tcW w:w="595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《中华人民共和国城乡规划法》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审批后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长春市规自局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汽开分局</w:t>
            </w:r>
          </w:p>
        </w:tc>
        <w:tc>
          <w:tcPr>
            <w:tcW w:w="592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■政府服务中心</w:t>
            </w:r>
          </w:p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公开查阅点</w:t>
            </w:r>
          </w:p>
        </w:tc>
        <w:tc>
          <w:tcPr>
            <w:tcW w:w="594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/>
                <w:color w:val="0000FF"/>
                <w:sz w:val="18"/>
                <w:szCs w:val="18"/>
                <w:u w:val="single"/>
              </w:rPr>
              <w:t>http://gzj.changchun.gov.cn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33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C76D8"/>
    <w:rsid w:val="115C76D8"/>
    <w:rsid w:val="12BA7E61"/>
    <w:rsid w:val="14031BB0"/>
    <w:rsid w:val="2A7D7ACC"/>
    <w:rsid w:val="405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2020-09-02T07:04:00Z</dcterms:created>
  <dc:creator>快乐一生</dc:creator>
  <cp:lastModifiedBy>Yu。</cp:lastModifiedBy>
  <cp:lastPrinted>2020-09-07T04:33:00Z</cp:lastPrinted>
  <dcterms:modified xsi:type="dcterms:W3CDTF">2021-02-24T06:42:03Z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